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7912" w14:textId="76D35D83" w:rsidR="00310023" w:rsidRDefault="005E2659" w:rsidP="005E2659">
      <w:pPr>
        <w:spacing w:after="0" w:line="240" w:lineRule="auto"/>
        <w:jc w:val="center"/>
      </w:pPr>
      <w:r>
        <w:t>LEGAL NOTICE</w:t>
      </w:r>
    </w:p>
    <w:p w14:paraId="7E10A8D3" w14:textId="50D1BB03" w:rsidR="005E2659" w:rsidRDefault="00257CBF" w:rsidP="00257CBF">
      <w:pPr>
        <w:spacing w:after="0" w:line="240" w:lineRule="auto"/>
        <w:jc w:val="center"/>
      </w:pPr>
      <w:r>
        <w:t>NOTICE OF SEWER FEE CHANGE</w:t>
      </w:r>
    </w:p>
    <w:p w14:paraId="2C5CEB64" w14:textId="77777777" w:rsidR="005E2659" w:rsidRDefault="005E2659" w:rsidP="005E2659">
      <w:pPr>
        <w:spacing w:after="0" w:line="240" w:lineRule="auto"/>
        <w:jc w:val="center"/>
      </w:pPr>
    </w:p>
    <w:p w14:paraId="54909C08" w14:textId="77777777" w:rsidR="005E2659" w:rsidRDefault="005E2659" w:rsidP="005E2659">
      <w:pPr>
        <w:spacing w:after="0" w:line="240" w:lineRule="auto"/>
        <w:jc w:val="center"/>
      </w:pPr>
    </w:p>
    <w:p w14:paraId="7222E3AC" w14:textId="4D84ECCD" w:rsidR="00257CBF" w:rsidRDefault="00257CBF">
      <w:r w:rsidRPr="00257CBF">
        <w:t xml:space="preserve">Notice is hereby given that the </w:t>
      </w:r>
      <w:r>
        <w:t xml:space="preserve">Ansonia Board of Aldermen, acting as the City’s Water Pollution Control Authority, </w:t>
      </w:r>
      <w:r w:rsidRPr="00257CBF">
        <w:t>held a Public Hearing in accordance with Connecticut General Statutes Section 7-255, on</w:t>
      </w:r>
      <w:r>
        <w:t xml:space="preserve"> Monday, November 2</w:t>
      </w:r>
      <w:r w:rsidR="005D2BF2">
        <w:t>5</w:t>
      </w:r>
      <w:r>
        <w:t>,</w:t>
      </w:r>
      <w:r w:rsidR="00C027DD">
        <w:t xml:space="preserve"> at 6:30 p.m.</w:t>
      </w:r>
      <w:r>
        <w:t xml:space="preserve"> 2024</w:t>
      </w:r>
      <w:r w:rsidRPr="00257CBF">
        <w:t xml:space="preserve">, for the purpose of affording the general public and sewer user rate payers of </w:t>
      </w:r>
      <w:r>
        <w:t>Ansonia</w:t>
      </w:r>
      <w:r w:rsidRPr="00257CBF">
        <w:t xml:space="preserve">, an opportunity to be heard concerning proposed </w:t>
      </w:r>
      <w:r>
        <w:t xml:space="preserve">changes to sewer rates. </w:t>
      </w:r>
      <w:r w:rsidRPr="00257CBF">
        <w:t xml:space="preserve">At a </w:t>
      </w:r>
      <w:r>
        <w:t>Special</w:t>
      </w:r>
      <w:r w:rsidRPr="00257CBF">
        <w:t xml:space="preserve"> Meeting of the</w:t>
      </w:r>
      <w:r>
        <w:t xml:space="preserve"> Ansonia Board of Aldermen</w:t>
      </w:r>
      <w:r w:rsidRPr="00257CBF">
        <w:t>,</w:t>
      </w:r>
      <w:r w:rsidR="005D2BF2">
        <w:t xml:space="preserve"> held on Monday, November 25, 2024 at 6:</w:t>
      </w:r>
      <w:r w:rsidR="00C027DD">
        <w:t>4</w:t>
      </w:r>
      <w:r w:rsidR="005D2BF2">
        <w:t xml:space="preserve">5 p.m., </w:t>
      </w:r>
      <w:r w:rsidRPr="00257CBF">
        <w:t xml:space="preserve"> </w:t>
      </w:r>
      <w:r>
        <w:t xml:space="preserve">a </w:t>
      </w:r>
      <w:r w:rsidRPr="00257CBF">
        <w:t>motion was passed to increase the sewer service rates</w:t>
      </w:r>
      <w:r>
        <w:t xml:space="preserve"> as fully described in this Notice</w:t>
      </w:r>
      <w:r w:rsidRPr="00257CBF">
        <w:t>. Increase in</w:t>
      </w:r>
      <w:r w:rsidR="001A0B1A">
        <w:t xml:space="preserve"> the</w:t>
      </w:r>
      <w:r w:rsidRPr="00257CBF">
        <w:t xml:space="preserve"> sewer fee is effective as of</w:t>
      </w:r>
      <w:r>
        <w:t xml:space="preserve"> December 2, 2024</w:t>
      </w:r>
      <w:r w:rsidRPr="00257CBF">
        <w:t xml:space="preserve">. Any appeals to this increase in charges must be taken within 21 days of filing of this legal notice. Appeals must be directed to the </w:t>
      </w:r>
      <w:r>
        <w:t xml:space="preserve">Ansonia Board of Aldermen </w:t>
      </w:r>
      <w:r w:rsidRPr="00257CBF">
        <w:t>at 2</w:t>
      </w:r>
      <w:r>
        <w:t>53 Main Street, Ansonia, CT 06401</w:t>
      </w:r>
      <w:r w:rsidRPr="00257CBF">
        <w:t>. Notice of these charges have been filed in the office of the</w:t>
      </w:r>
      <w:r>
        <w:t xml:space="preserve"> Ansonia</w:t>
      </w:r>
      <w:r w:rsidRPr="00257CBF">
        <w:t xml:space="preserve"> Town</w:t>
      </w:r>
      <w:r>
        <w:t xml:space="preserve"> and City</w:t>
      </w:r>
      <w:r w:rsidRPr="00257CBF">
        <w:t xml:space="preserve"> Clerk on </w:t>
      </w:r>
      <w:r>
        <w:t>November 27, 2024.</w:t>
      </w:r>
      <w:r w:rsidR="005D2BF2">
        <w:t xml:space="preserve"> The manner of paying fees shall be to the City of Ansonia’s Water Pollution Control Authority, or its successors.</w:t>
      </w:r>
    </w:p>
    <w:p w14:paraId="55CE7E81" w14:textId="77777777" w:rsidR="00310023" w:rsidRDefault="00310023" w:rsidP="00310023">
      <w:pPr>
        <w:pStyle w:val="Heading1"/>
      </w:pPr>
      <w:r>
        <w:t>Metered</w:t>
      </w:r>
      <w:r>
        <w:rPr>
          <w:spacing w:val="-4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Billed</w:t>
      </w:r>
      <w:r>
        <w:rPr>
          <w:spacing w:val="-3"/>
        </w:rPr>
        <w:t xml:space="preserve"> </w:t>
      </w:r>
      <w:r>
        <w:rPr>
          <w:spacing w:val="-2"/>
        </w:rPr>
        <w:t>Monthly</w:t>
      </w:r>
    </w:p>
    <w:p w14:paraId="6DD7FDFE" w14:textId="77777777" w:rsidR="00310023" w:rsidRDefault="00310023" w:rsidP="00310023">
      <w:pPr>
        <w:pStyle w:val="BodyText"/>
        <w:spacing w:before="184"/>
        <w:ind w:left="580"/>
        <w:rPr>
          <w:spacing w:val="-4"/>
        </w:rPr>
      </w:pPr>
      <w:r>
        <w:t>Per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Cubic Feet</w:t>
      </w:r>
      <w:r>
        <w:rPr>
          <w:spacing w:val="-2"/>
        </w:rPr>
        <w:t xml:space="preserve"> </w:t>
      </w:r>
      <w:r>
        <w:rPr>
          <w:spacing w:val="-4"/>
        </w:rPr>
        <w:t>(CF)</w:t>
      </w:r>
    </w:p>
    <w:p w14:paraId="7BBC70D2" w14:textId="77777777" w:rsidR="00233BD8" w:rsidRDefault="00233BD8" w:rsidP="00310023">
      <w:pPr>
        <w:pStyle w:val="BodyText"/>
        <w:spacing w:before="184"/>
        <w:ind w:left="580"/>
        <w:rPr>
          <w:spacing w:val="-4"/>
        </w:rPr>
      </w:pPr>
    </w:p>
    <w:p w14:paraId="6CF447D2" w14:textId="77777777" w:rsidR="00233BD8" w:rsidRDefault="00233BD8" w:rsidP="00233BD8">
      <w:pPr>
        <w:pStyle w:val="BodyText"/>
        <w:ind w:left="580"/>
        <w:rPr>
          <w:spacing w:val="-2"/>
          <w:u w:val="single"/>
        </w:rPr>
      </w:pPr>
      <w:r>
        <w:rPr>
          <w:u w:val="single"/>
        </w:rPr>
        <w:t>Consumption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Charge</w:t>
      </w:r>
    </w:p>
    <w:p w14:paraId="727435B4" w14:textId="77777777" w:rsidR="00233BD8" w:rsidRDefault="00233BD8" w:rsidP="00233BD8">
      <w:pPr>
        <w:pStyle w:val="BodyText"/>
        <w:ind w:left="580"/>
      </w:pPr>
    </w:p>
    <w:tbl>
      <w:tblPr>
        <w:tblW w:w="3690" w:type="dxa"/>
        <w:tblInd w:w="450" w:type="dxa"/>
        <w:tblLook w:val="04A0" w:firstRow="1" w:lastRow="0" w:firstColumn="1" w:lastColumn="0" w:noHBand="0" w:noVBand="1"/>
      </w:tblPr>
      <w:tblGrid>
        <w:gridCol w:w="1980"/>
        <w:gridCol w:w="1710"/>
      </w:tblGrid>
      <w:tr w:rsidR="00233BD8" w:rsidRPr="00010A0D" w14:paraId="7F76A196" w14:textId="77777777" w:rsidTr="00B8773F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2250" w14:textId="77777777" w:rsidR="00233BD8" w:rsidRPr="00010A0D" w:rsidRDefault="00233BD8" w:rsidP="00B87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5A54DF" w14:textId="77777777" w:rsidR="00233BD8" w:rsidRPr="00010A0D" w:rsidRDefault="00233BD8" w:rsidP="00B877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10A0D">
              <w:rPr>
                <w:rFonts w:eastAsia="Times New Roman"/>
                <w:b/>
                <w:bCs/>
                <w:color w:val="000000"/>
              </w:rPr>
              <w:t>Consumption Rate per 100 CF</w:t>
            </w:r>
          </w:p>
        </w:tc>
      </w:tr>
      <w:tr w:rsidR="00233BD8" w:rsidRPr="00010A0D" w14:paraId="23E90D5A" w14:textId="77777777" w:rsidTr="00B8773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E8A3" w14:textId="77777777" w:rsidR="00233BD8" w:rsidRPr="00010A0D" w:rsidRDefault="00233BD8" w:rsidP="00B8773F">
            <w:pPr>
              <w:rPr>
                <w:rFonts w:eastAsia="Times New Roman"/>
                <w:color w:val="000000"/>
              </w:rPr>
            </w:pPr>
            <w:r w:rsidRPr="007C061A">
              <w:rPr>
                <w:rFonts w:eastAsia="Times New Roman"/>
                <w:color w:val="000000"/>
              </w:rPr>
              <w:t>Residential single family (5/8 inch)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737C" w14:textId="77777777" w:rsidR="00233BD8" w:rsidRPr="00010A0D" w:rsidRDefault="00233BD8" w:rsidP="00B8773F">
            <w:pPr>
              <w:jc w:val="center"/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$5.15</w:t>
            </w:r>
          </w:p>
        </w:tc>
      </w:tr>
      <w:tr w:rsidR="00233BD8" w:rsidRPr="00010A0D" w14:paraId="53615F72" w14:textId="77777777" w:rsidTr="00B877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D1B" w14:textId="77777777" w:rsidR="00233BD8" w:rsidRPr="00010A0D" w:rsidRDefault="00233BD8" w:rsidP="00B8773F">
            <w:pPr>
              <w:rPr>
                <w:rFonts w:eastAsia="Times New Roman"/>
                <w:color w:val="000000"/>
                <w:u w:val="single"/>
              </w:rPr>
            </w:pPr>
            <w:r w:rsidRPr="00010A0D">
              <w:rPr>
                <w:rFonts w:eastAsia="Times New Roman"/>
                <w:color w:val="000000"/>
                <w:u w:val="single"/>
              </w:rPr>
              <w:t>All other: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B7C2" w14:textId="77777777" w:rsidR="00233BD8" w:rsidRPr="00010A0D" w:rsidRDefault="00233BD8" w:rsidP="00B8773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33BD8" w:rsidRPr="00010A0D" w14:paraId="2941A2E5" w14:textId="77777777" w:rsidTr="00B877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DAD" w14:textId="77777777" w:rsidR="00233BD8" w:rsidRPr="00010A0D" w:rsidRDefault="00233BD8" w:rsidP="00B8773F">
            <w:pPr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5/8 inch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09F4" w14:textId="77777777" w:rsidR="00233BD8" w:rsidRPr="00010A0D" w:rsidRDefault="00233BD8" w:rsidP="00B8773F">
            <w:pPr>
              <w:jc w:val="center"/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$6.81</w:t>
            </w:r>
          </w:p>
        </w:tc>
      </w:tr>
      <w:tr w:rsidR="00233BD8" w:rsidRPr="00010A0D" w14:paraId="31DA1EF0" w14:textId="77777777" w:rsidTr="00B877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915" w14:textId="77777777" w:rsidR="00233BD8" w:rsidRPr="00010A0D" w:rsidRDefault="00233BD8" w:rsidP="00B8773F">
            <w:pPr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3/4 inch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5D1" w14:textId="77777777" w:rsidR="00233BD8" w:rsidRPr="00010A0D" w:rsidRDefault="00233BD8" w:rsidP="00B8773F">
            <w:pPr>
              <w:jc w:val="center"/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$6.81</w:t>
            </w:r>
          </w:p>
        </w:tc>
      </w:tr>
      <w:tr w:rsidR="00233BD8" w:rsidRPr="00010A0D" w14:paraId="7B1A014E" w14:textId="77777777" w:rsidTr="00B877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921" w14:textId="77777777" w:rsidR="00233BD8" w:rsidRPr="00010A0D" w:rsidRDefault="00233BD8" w:rsidP="00B8773F">
            <w:pPr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1 inch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D598" w14:textId="77777777" w:rsidR="00233BD8" w:rsidRPr="00010A0D" w:rsidRDefault="00233BD8" w:rsidP="00B8773F">
            <w:pPr>
              <w:jc w:val="center"/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$6.81</w:t>
            </w:r>
          </w:p>
        </w:tc>
      </w:tr>
      <w:tr w:rsidR="00233BD8" w:rsidRPr="00010A0D" w14:paraId="54ACDBDD" w14:textId="77777777" w:rsidTr="00B877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C6A" w14:textId="77777777" w:rsidR="00233BD8" w:rsidRPr="00010A0D" w:rsidRDefault="00233BD8" w:rsidP="00B8773F">
            <w:pPr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1 1/2 inch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1ABF" w14:textId="77777777" w:rsidR="00233BD8" w:rsidRPr="00010A0D" w:rsidRDefault="00233BD8" w:rsidP="00B8773F">
            <w:pPr>
              <w:jc w:val="center"/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$6.81</w:t>
            </w:r>
          </w:p>
        </w:tc>
      </w:tr>
      <w:tr w:rsidR="00233BD8" w:rsidRPr="00010A0D" w14:paraId="0A04EA2B" w14:textId="77777777" w:rsidTr="00B877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C42" w14:textId="77777777" w:rsidR="00233BD8" w:rsidRPr="00010A0D" w:rsidRDefault="00233BD8" w:rsidP="00B8773F">
            <w:pPr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2 inch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43D4" w14:textId="77777777" w:rsidR="00233BD8" w:rsidRPr="00010A0D" w:rsidRDefault="00233BD8" w:rsidP="00B8773F">
            <w:pPr>
              <w:jc w:val="center"/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$6.81</w:t>
            </w:r>
          </w:p>
        </w:tc>
      </w:tr>
      <w:tr w:rsidR="00233BD8" w:rsidRPr="00010A0D" w14:paraId="4D594152" w14:textId="77777777" w:rsidTr="00B877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867" w14:textId="77777777" w:rsidR="00233BD8" w:rsidRPr="00010A0D" w:rsidRDefault="00233BD8" w:rsidP="00B8773F">
            <w:pPr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6 inch</w:t>
            </w: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DE1" w14:textId="77777777" w:rsidR="00233BD8" w:rsidRPr="00010A0D" w:rsidRDefault="00233BD8" w:rsidP="00B8773F">
            <w:pPr>
              <w:jc w:val="center"/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$6.81</w:t>
            </w:r>
          </w:p>
        </w:tc>
      </w:tr>
      <w:tr w:rsidR="00233BD8" w:rsidRPr="00010A0D" w14:paraId="6F7F32D0" w14:textId="77777777" w:rsidTr="00B877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5CC" w14:textId="77777777" w:rsidR="00233BD8" w:rsidRPr="00010A0D" w:rsidRDefault="00233BD8" w:rsidP="00B8773F">
            <w:pPr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8 inch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093C" w14:textId="77777777" w:rsidR="00233BD8" w:rsidRPr="00010A0D" w:rsidRDefault="00233BD8" w:rsidP="00B8773F">
            <w:pPr>
              <w:jc w:val="center"/>
              <w:rPr>
                <w:rFonts w:eastAsia="Times New Roman"/>
                <w:color w:val="000000"/>
              </w:rPr>
            </w:pPr>
            <w:r w:rsidRPr="00010A0D">
              <w:rPr>
                <w:rFonts w:eastAsia="Times New Roman"/>
                <w:color w:val="000000"/>
              </w:rPr>
              <w:t>$6.81</w:t>
            </w:r>
          </w:p>
        </w:tc>
      </w:tr>
    </w:tbl>
    <w:p w14:paraId="03DD995E" w14:textId="77777777" w:rsidR="00233BD8" w:rsidRDefault="00233BD8" w:rsidP="00233BD8">
      <w:pPr>
        <w:pStyle w:val="BodyText"/>
        <w:spacing w:before="184"/>
      </w:pPr>
    </w:p>
    <w:p w14:paraId="1237DF07" w14:textId="77777777" w:rsidR="00310023" w:rsidRDefault="00310023" w:rsidP="00310023">
      <w:pPr>
        <w:pStyle w:val="BodyText"/>
        <w:rPr>
          <w:sz w:val="30"/>
        </w:rPr>
      </w:pPr>
    </w:p>
    <w:p w14:paraId="0473DCCC" w14:textId="77777777" w:rsidR="00310023" w:rsidRDefault="00310023" w:rsidP="00310023">
      <w:pPr>
        <w:pStyle w:val="BodyText"/>
        <w:ind w:left="580"/>
      </w:pPr>
      <w:r>
        <w:rPr>
          <w:u w:val="single"/>
        </w:rPr>
        <w:t>Monthly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2"/>
          <w:u w:val="single"/>
        </w:rPr>
        <w:t xml:space="preserve"> Fee</w:t>
      </w:r>
    </w:p>
    <w:p w14:paraId="6BEA3BFF" w14:textId="77777777" w:rsidR="00310023" w:rsidRDefault="00310023" w:rsidP="00310023">
      <w:pPr>
        <w:pStyle w:val="BodyText"/>
      </w:pPr>
      <w:r>
        <w:tab/>
      </w:r>
    </w:p>
    <w:tbl>
      <w:tblPr>
        <w:tblW w:w="3690" w:type="dxa"/>
        <w:tblInd w:w="450" w:type="dxa"/>
        <w:tblLook w:val="04A0" w:firstRow="1" w:lastRow="0" w:firstColumn="1" w:lastColumn="0" w:noHBand="0" w:noVBand="1"/>
      </w:tblPr>
      <w:tblGrid>
        <w:gridCol w:w="2070"/>
        <w:gridCol w:w="1620"/>
      </w:tblGrid>
      <w:tr w:rsidR="00310023" w:rsidRPr="003C27B3" w14:paraId="1991CF96" w14:textId="77777777" w:rsidTr="00D62326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731" w14:textId="77777777" w:rsidR="00310023" w:rsidRPr="003C27B3" w:rsidRDefault="00310023" w:rsidP="00D62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76B886" w14:textId="77777777" w:rsidR="00310023" w:rsidRPr="003C27B3" w:rsidRDefault="00310023" w:rsidP="00D6232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27B3">
              <w:rPr>
                <w:rFonts w:eastAsia="Times New Roman"/>
                <w:b/>
                <w:bCs/>
                <w:color w:val="000000"/>
              </w:rPr>
              <w:t xml:space="preserve">Monthly </w:t>
            </w:r>
            <w:r>
              <w:rPr>
                <w:rFonts w:eastAsia="Times New Roman"/>
                <w:b/>
                <w:bCs/>
                <w:color w:val="000000"/>
              </w:rPr>
              <w:t xml:space="preserve">Service </w:t>
            </w:r>
            <w:r w:rsidRPr="003C27B3">
              <w:rPr>
                <w:rFonts w:eastAsia="Times New Roman"/>
                <w:b/>
                <w:bCs/>
                <w:color w:val="000000"/>
              </w:rPr>
              <w:t>Fee</w:t>
            </w:r>
            <w:r>
              <w:rPr>
                <w:rStyle w:val="FootnoteReference"/>
                <w:rFonts w:eastAsia="Times New Roman"/>
                <w:b/>
                <w:bCs/>
                <w:color w:val="000000"/>
              </w:rPr>
              <w:footnoteReference w:id="1"/>
            </w:r>
          </w:p>
        </w:tc>
      </w:tr>
      <w:tr w:rsidR="00310023" w:rsidRPr="003C27B3" w14:paraId="23CEECBC" w14:textId="77777777" w:rsidTr="00D62326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7E58" w14:textId="77777777" w:rsidR="00310023" w:rsidRPr="003C27B3" w:rsidRDefault="00310023" w:rsidP="00D62326">
            <w:pPr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Resi</w:t>
            </w:r>
            <w:r>
              <w:rPr>
                <w:rFonts w:eastAsia="Times New Roman"/>
                <w:color w:val="000000"/>
              </w:rPr>
              <w:t>dential</w:t>
            </w:r>
            <w:r w:rsidRPr="003C27B3">
              <w:rPr>
                <w:rFonts w:eastAsia="Times New Roman"/>
                <w:color w:val="000000"/>
              </w:rPr>
              <w:t xml:space="preserve"> single</w:t>
            </w:r>
            <w:r>
              <w:rPr>
                <w:rFonts w:eastAsia="Times New Roman"/>
                <w:color w:val="000000"/>
              </w:rPr>
              <w:t xml:space="preserve"> family (5/8 inch)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A911" w14:textId="77777777" w:rsidR="00310023" w:rsidRPr="003C27B3" w:rsidRDefault="00310023" w:rsidP="00D62326">
            <w:pPr>
              <w:jc w:val="center"/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$26.45</w:t>
            </w:r>
          </w:p>
        </w:tc>
      </w:tr>
      <w:tr w:rsidR="00310023" w:rsidRPr="003C27B3" w14:paraId="68434DEC" w14:textId="77777777" w:rsidTr="00D6232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AFED" w14:textId="77777777" w:rsidR="00310023" w:rsidRPr="003C27B3" w:rsidRDefault="00310023" w:rsidP="00D62326">
            <w:pPr>
              <w:rPr>
                <w:rFonts w:eastAsia="Times New Roman"/>
                <w:color w:val="000000"/>
                <w:u w:val="single"/>
              </w:rPr>
            </w:pPr>
            <w:r w:rsidRPr="003C27B3">
              <w:rPr>
                <w:rFonts w:eastAsia="Times New Roman"/>
                <w:color w:val="000000"/>
                <w:u w:val="single"/>
              </w:rPr>
              <w:t>All other: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09D1" w14:textId="77777777" w:rsidR="00310023" w:rsidRPr="003C27B3" w:rsidRDefault="00310023" w:rsidP="00D6232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10023" w:rsidRPr="003C27B3" w14:paraId="36F85984" w14:textId="77777777" w:rsidTr="00D6232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D03" w14:textId="77777777" w:rsidR="00310023" w:rsidRPr="003C27B3" w:rsidRDefault="00310023" w:rsidP="00D62326">
            <w:pPr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5/8 inch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8A9C" w14:textId="77777777" w:rsidR="00310023" w:rsidRPr="003C27B3" w:rsidRDefault="00310023" w:rsidP="00D62326">
            <w:pPr>
              <w:jc w:val="center"/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$39.68</w:t>
            </w:r>
          </w:p>
        </w:tc>
      </w:tr>
      <w:tr w:rsidR="00310023" w:rsidRPr="003C27B3" w14:paraId="5159DA1F" w14:textId="77777777" w:rsidTr="00D6232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46F" w14:textId="77777777" w:rsidR="00310023" w:rsidRPr="003C27B3" w:rsidRDefault="00310023" w:rsidP="00D62326">
            <w:pPr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3/4 inch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5B1B" w14:textId="77777777" w:rsidR="00310023" w:rsidRPr="003C27B3" w:rsidRDefault="00310023" w:rsidP="00D62326">
            <w:pPr>
              <w:jc w:val="center"/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$52.90</w:t>
            </w:r>
          </w:p>
        </w:tc>
      </w:tr>
      <w:tr w:rsidR="00310023" w:rsidRPr="003C27B3" w14:paraId="115BCB24" w14:textId="77777777" w:rsidTr="00D6232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C3C1" w14:textId="77777777" w:rsidR="00310023" w:rsidRPr="003C27B3" w:rsidRDefault="00310023" w:rsidP="00D62326">
            <w:pPr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1 inch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C3EA" w14:textId="77777777" w:rsidR="00310023" w:rsidRPr="003C27B3" w:rsidRDefault="00310023" w:rsidP="00D62326">
            <w:pPr>
              <w:jc w:val="center"/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$79.35</w:t>
            </w:r>
          </w:p>
        </w:tc>
      </w:tr>
      <w:tr w:rsidR="00310023" w:rsidRPr="003C27B3" w14:paraId="673B65FB" w14:textId="77777777" w:rsidTr="00D6232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379" w14:textId="77777777" w:rsidR="00310023" w:rsidRPr="003C27B3" w:rsidRDefault="00310023" w:rsidP="00D62326">
            <w:pPr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1 1/2 inch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3FB1" w14:textId="77777777" w:rsidR="00310023" w:rsidRPr="003C27B3" w:rsidRDefault="00310023" w:rsidP="00D62326">
            <w:pPr>
              <w:jc w:val="center"/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$119.03</w:t>
            </w:r>
          </w:p>
        </w:tc>
      </w:tr>
      <w:tr w:rsidR="00310023" w:rsidRPr="003C27B3" w14:paraId="2B1359BE" w14:textId="77777777" w:rsidTr="00D6232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19C" w14:textId="77777777" w:rsidR="00310023" w:rsidRPr="003C27B3" w:rsidRDefault="00310023" w:rsidP="00D62326">
            <w:pPr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2 inch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2F4C" w14:textId="77777777" w:rsidR="00310023" w:rsidRPr="003C27B3" w:rsidRDefault="00310023" w:rsidP="00D62326">
            <w:pPr>
              <w:jc w:val="center"/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$158.70</w:t>
            </w:r>
          </w:p>
        </w:tc>
      </w:tr>
      <w:tr w:rsidR="00310023" w:rsidRPr="003C27B3" w14:paraId="10277EFE" w14:textId="77777777" w:rsidTr="00D6232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D6A" w14:textId="77777777" w:rsidR="00310023" w:rsidRPr="003C27B3" w:rsidRDefault="00310023" w:rsidP="00D62326">
            <w:pPr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6 inch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E89D" w14:textId="77777777" w:rsidR="00310023" w:rsidRPr="003C27B3" w:rsidRDefault="00310023" w:rsidP="00D62326">
            <w:pPr>
              <w:jc w:val="center"/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$476.10</w:t>
            </w:r>
          </w:p>
        </w:tc>
      </w:tr>
      <w:tr w:rsidR="00310023" w:rsidRPr="003C27B3" w14:paraId="1FDF66A2" w14:textId="77777777" w:rsidTr="00D6232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357" w14:textId="77777777" w:rsidR="00310023" w:rsidRPr="003C27B3" w:rsidRDefault="00310023" w:rsidP="00D62326">
            <w:pPr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8 inch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4BDE" w14:textId="77777777" w:rsidR="00310023" w:rsidRPr="003C27B3" w:rsidRDefault="00310023" w:rsidP="00D62326">
            <w:pPr>
              <w:jc w:val="center"/>
              <w:rPr>
                <w:rFonts w:eastAsia="Times New Roman"/>
                <w:color w:val="000000"/>
              </w:rPr>
            </w:pPr>
            <w:r w:rsidRPr="003C27B3">
              <w:rPr>
                <w:rFonts w:eastAsia="Times New Roman"/>
                <w:color w:val="000000"/>
              </w:rPr>
              <w:t>$634.80</w:t>
            </w:r>
          </w:p>
        </w:tc>
      </w:tr>
    </w:tbl>
    <w:p w14:paraId="5871064E" w14:textId="77777777" w:rsidR="00310023" w:rsidRDefault="00310023" w:rsidP="00310023">
      <w:pPr>
        <w:pStyle w:val="BodyText"/>
        <w:spacing w:before="11"/>
        <w:rPr>
          <w:sz w:val="29"/>
        </w:rPr>
      </w:pPr>
    </w:p>
    <w:p w14:paraId="2FF5F395" w14:textId="77777777" w:rsidR="001654BD" w:rsidRDefault="001654BD" w:rsidP="00310023">
      <w:pPr>
        <w:pStyle w:val="Heading1"/>
      </w:pPr>
    </w:p>
    <w:p w14:paraId="67CB0423" w14:textId="1B8DF4D3" w:rsidR="00310023" w:rsidRDefault="00310023" w:rsidP="00310023">
      <w:pPr>
        <w:pStyle w:val="Heading1"/>
      </w:pPr>
      <w:r>
        <w:t>Non-metered</w:t>
      </w:r>
      <w:r>
        <w:rPr>
          <w:spacing w:val="-6"/>
        </w:rPr>
        <w:t xml:space="preserve"> </w:t>
      </w:r>
      <w:r>
        <w:t>Customers</w:t>
      </w:r>
      <w:r>
        <w:rPr>
          <w:spacing w:val="-5"/>
        </w:rPr>
        <w:t xml:space="preserve"> (Flat Rate Service)</w:t>
      </w:r>
    </w:p>
    <w:p w14:paraId="726A9219" w14:textId="77777777" w:rsidR="00310023" w:rsidRDefault="00310023" w:rsidP="00310023">
      <w:pPr>
        <w:pStyle w:val="BodyText"/>
        <w:spacing w:before="183"/>
        <w:ind w:left="580"/>
      </w:pPr>
      <w:r>
        <w:t>$66.73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month</w:t>
      </w:r>
    </w:p>
    <w:p w14:paraId="7D73ABAF" w14:textId="77777777" w:rsidR="00310023" w:rsidRDefault="00310023" w:rsidP="00310023">
      <w:pPr>
        <w:pStyle w:val="Heading1"/>
      </w:pPr>
    </w:p>
    <w:p w14:paraId="598E5A46" w14:textId="77DC79AE" w:rsidR="00310023" w:rsidRDefault="00257CBF" w:rsidP="00310023">
      <w:pPr>
        <w:pStyle w:val="Heading1"/>
      </w:pPr>
      <w:r>
        <w:t>Service</w:t>
      </w:r>
      <w:r w:rsidR="00233BD8">
        <w:t xml:space="preserve"> </w:t>
      </w:r>
      <w:r w:rsidR="00310023">
        <w:rPr>
          <w:spacing w:val="-2"/>
        </w:rPr>
        <w:t>Charges</w:t>
      </w:r>
    </w:p>
    <w:p w14:paraId="452A1974" w14:textId="539B5C84" w:rsidR="00310023" w:rsidRDefault="00310023" w:rsidP="00310023">
      <w:pPr>
        <w:pStyle w:val="BodyText"/>
        <w:spacing w:before="184" w:line="259" w:lineRule="auto"/>
        <w:ind w:left="580"/>
      </w:pPr>
      <w:r>
        <w:t>Customer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reimburse</w:t>
      </w:r>
      <w:r>
        <w:rPr>
          <w:spacing w:val="-4"/>
        </w:rPr>
        <w:t xml:space="preserve"> </w:t>
      </w:r>
      <w:r w:rsidR="001654BD">
        <w:t>the WPCA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resulting from a violation of rules and regulations.</w:t>
      </w:r>
    </w:p>
    <w:p w14:paraId="6051F8EC" w14:textId="77777777" w:rsidR="00310023" w:rsidRDefault="00310023"/>
    <w:p w14:paraId="267D0BBD" w14:textId="76C5A7DE" w:rsidR="001654BD" w:rsidRPr="001654BD" w:rsidRDefault="001654BD"/>
    <w:sectPr w:rsidR="001654BD" w:rsidRPr="00165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18EBE" w14:textId="77777777" w:rsidR="001A6851" w:rsidRDefault="001A6851" w:rsidP="00310023">
      <w:pPr>
        <w:spacing w:after="0" w:line="240" w:lineRule="auto"/>
      </w:pPr>
      <w:r>
        <w:separator/>
      </w:r>
    </w:p>
  </w:endnote>
  <w:endnote w:type="continuationSeparator" w:id="0">
    <w:p w14:paraId="4DAAE716" w14:textId="77777777" w:rsidR="001A6851" w:rsidRDefault="001A6851" w:rsidP="0031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2DE3" w14:textId="77777777" w:rsidR="001A6851" w:rsidRDefault="001A6851" w:rsidP="00310023">
      <w:pPr>
        <w:spacing w:after="0" w:line="240" w:lineRule="auto"/>
      </w:pPr>
      <w:r>
        <w:separator/>
      </w:r>
    </w:p>
  </w:footnote>
  <w:footnote w:type="continuationSeparator" w:id="0">
    <w:p w14:paraId="73E1897A" w14:textId="77777777" w:rsidR="001A6851" w:rsidRDefault="001A6851" w:rsidP="00310023">
      <w:pPr>
        <w:spacing w:after="0" w:line="240" w:lineRule="auto"/>
      </w:pPr>
      <w:r>
        <w:continuationSeparator/>
      </w:r>
    </w:p>
  </w:footnote>
  <w:footnote w:id="1">
    <w:p w14:paraId="5C393AAD" w14:textId="77777777" w:rsidR="00310023" w:rsidRDefault="00310023" w:rsidP="00310023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153BE1">
        <w:t xml:space="preserve">he basic service is rendered </w:t>
      </w:r>
      <w:r>
        <w:t xml:space="preserve">on a </w:t>
      </w:r>
      <w:r w:rsidRPr="00153BE1">
        <w:t xml:space="preserve">per-diem </w:t>
      </w:r>
      <w:r>
        <w:t>and</w:t>
      </w:r>
      <w:r w:rsidRPr="00153BE1">
        <w:t xml:space="preserve"> will </w:t>
      </w:r>
      <w:r>
        <w:t>fluctuate</w:t>
      </w:r>
      <w:r w:rsidRPr="00153BE1">
        <w:t xml:space="preserve"> depending on the number of days in the bill period.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23"/>
    <w:rsid w:val="001654BD"/>
    <w:rsid w:val="00175C0D"/>
    <w:rsid w:val="001A0B1A"/>
    <w:rsid w:val="001A6851"/>
    <w:rsid w:val="002058D5"/>
    <w:rsid w:val="00211720"/>
    <w:rsid w:val="00233BD8"/>
    <w:rsid w:val="00257CBF"/>
    <w:rsid w:val="00265FE5"/>
    <w:rsid w:val="00310023"/>
    <w:rsid w:val="0031736A"/>
    <w:rsid w:val="00493E67"/>
    <w:rsid w:val="005D2BF2"/>
    <w:rsid w:val="005E2659"/>
    <w:rsid w:val="006C4529"/>
    <w:rsid w:val="0091630D"/>
    <w:rsid w:val="009E7C1B"/>
    <w:rsid w:val="00A849F7"/>
    <w:rsid w:val="00C027DD"/>
    <w:rsid w:val="00C16AD6"/>
    <w:rsid w:val="00D2784C"/>
    <w:rsid w:val="00D41DC1"/>
    <w:rsid w:val="00DB0E99"/>
    <w:rsid w:val="00DB6F94"/>
    <w:rsid w:val="00DC2324"/>
    <w:rsid w:val="00DE2ACB"/>
    <w:rsid w:val="00DF50C3"/>
    <w:rsid w:val="00E973E4"/>
    <w:rsid w:val="00E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4642"/>
  <w15:chartTrackingRefBased/>
  <w15:docId w15:val="{68ADFDD0-B403-4E57-8A85-8EF9CE32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0023"/>
    <w:pPr>
      <w:widowControl w:val="0"/>
      <w:autoSpaceDE w:val="0"/>
      <w:autoSpaceDN w:val="0"/>
      <w:spacing w:after="0" w:line="240" w:lineRule="auto"/>
      <w:ind w:left="580"/>
      <w:outlineLvl w:val="0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023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100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10023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10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0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023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0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023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100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26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6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2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Aquarion Water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Simonsen</dc:creator>
  <cp:keywords/>
  <dc:description/>
  <cp:lastModifiedBy>Nancy Marini</cp:lastModifiedBy>
  <cp:revision>4</cp:revision>
  <dcterms:created xsi:type="dcterms:W3CDTF">2024-11-27T21:45:00Z</dcterms:created>
  <dcterms:modified xsi:type="dcterms:W3CDTF">2024-11-27T21:51:00Z</dcterms:modified>
</cp:coreProperties>
</file>