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A7912" w14:textId="76D35D83" w:rsidR="00310023" w:rsidRDefault="005E2659" w:rsidP="005E2659">
      <w:pPr>
        <w:spacing w:after="0" w:line="240" w:lineRule="auto"/>
        <w:jc w:val="center"/>
      </w:pPr>
      <w:r>
        <w:t>LEGAL NOTICE</w:t>
      </w:r>
    </w:p>
    <w:p w14:paraId="7D80E02D" w14:textId="2E44738F" w:rsidR="005E2659" w:rsidRDefault="005E2659" w:rsidP="005E2659">
      <w:pPr>
        <w:spacing w:after="0" w:line="240" w:lineRule="auto"/>
        <w:jc w:val="center"/>
      </w:pPr>
      <w:r>
        <w:t>CITY OF ANSONIA</w:t>
      </w:r>
    </w:p>
    <w:p w14:paraId="36163555" w14:textId="6D11C4B9" w:rsidR="005E2659" w:rsidRDefault="005E2659" w:rsidP="005E2659">
      <w:pPr>
        <w:spacing w:after="0" w:line="240" w:lineRule="auto"/>
        <w:jc w:val="center"/>
      </w:pPr>
      <w:r>
        <w:t>WATER POLLUTION CONTROL AUTHORITY</w:t>
      </w:r>
    </w:p>
    <w:p w14:paraId="7E10A8D3" w14:textId="0B32874A" w:rsidR="005E2659" w:rsidRDefault="005E2659" w:rsidP="005E2659">
      <w:pPr>
        <w:spacing w:after="0" w:line="240" w:lineRule="auto"/>
        <w:jc w:val="center"/>
      </w:pPr>
      <w:r>
        <w:t>PUBLIC HEARING</w:t>
      </w:r>
    </w:p>
    <w:p w14:paraId="2C5CEB64" w14:textId="77777777" w:rsidR="005E2659" w:rsidRDefault="005E2659" w:rsidP="005E2659">
      <w:pPr>
        <w:spacing w:after="0" w:line="240" w:lineRule="auto"/>
        <w:jc w:val="center"/>
      </w:pPr>
    </w:p>
    <w:p w14:paraId="4AAD8C21" w14:textId="199BB9A9" w:rsidR="005E2659" w:rsidRDefault="00DC2324" w:rsidP="005E2659">
      <w:pPr>
        <w:spacing w:after="0" w:line="240" w:lineRule="auto"/>
        <w:jc w:val="center"/>
      </w:pPr>
      <w:r>
        <w:t>November 2</w:t>
      </w:r>
      <w:r w:rsidR="00D2784C">
        <w:t>5</w:t>
      </w:r>
      <w:r w:rsidR="005E2659">
        <w:t>, 2024</w:t>
      </w:r>
    </w:p>
    <w:p w14:paraId="4323AD13" w14:textId="650B7675" w:rsidR="005E2659" w:rsidRDefault="005E2659" w:rsidP="005E2659">
      <w:pPr>
        <w:spacing w:after="0" w:line="240" w:lineRule="auto"/>
        <w:jc w:val="center"/>
      </w:pPr>
      <w:r>
        <w:t>6:30 p.m.</w:t>
      </w:r>
    </w:p>
    <w:p w14:paraId="54909C08" w14:textId="77777777" w:rsidR="005E2659" w:rsidRDefault="005E2659" w:rsidP="005E2659">
      <w:pPr>
        <w:spacing w:after="0" w:line="240" w:lineRule="auto"/>
        <w:jc w:val="center"/>
      </w:pPr>
    </w:p>
    <w:p w14:paraId="512B9AD8" w14:textId="5AAB6860" w:rsidR="005E2659" w:rsidRDefault="005E2659">
      <w:r>
        <w:t xml:space="preserve">Pursuant to C.G.S. Section 7-255, the Ansonia Board of Aldermen, acting as the City’s Water Pollution Control Authority, will hold a Public Hearing with respect to sewer use charges on </w:t>
      </w:r>
      <w:r w:rsidR="00D2784C">
        <w:t>Monday</w:t>
      </w:r>
      <w:r>
        <w:t xml:space="preserve">, November </w:t>
      </w:r>
      <w:r w:rsidR="00D41DC1">
        <w:t>2</w:t>
      </w:r>
      <w:r w:rsidR="00D2784C">
        <w:t>5</w:t>
      </w:r>
      <w:r>
        <w:t>, 2024</w:t>
      </w:r>
      <w:r w:rsidR="00233BD8">
        <w:t xml:space="preserve">, 6:30 p.m. </w:t>
      </w:r>
      <w:r>
        <w:t>remotely on ZOOM via the following link:</w:t>
      </w:r>
    </w:p>
    <w:p w14:paraId="552665C4" w14:textId="63A01656" w:rsidR="005E2659" w:rsidRDefault="005E2659" w:rsidP="005E2659">
      <w:pPr>
        <w:jc w:val="center"/>
      </w:pPr>
      <w:r w:rsidRPr="005E2659">
        <w:t>Join Zoom Meeting</w:t>
      </w:r>
      <w:r w:rsidRPr="005E2659">
        <w:br/>
      </w:r>
      <w:hyperlink r:id="rId6" w:tgtFrame="_blank" w:history="1">
        <w:r w:rsidRPr="005E2659">
          <w:rPr>
            <w:rStyle w:val="Hyperlink"/>
          </w:rPr>
          <w:t>https://us06web.zoom.us/j/87024581301?pwd=z9N4nqNvMLFJREPh00kVZoDnQpGW5Y.1</w:t>
        </w:r>
      </w:hyperlink>
      <w:r w:rsidRPr="005E2659">
        <w:br/>
      </w:r>
      <w:r w:rsidRPr="005E2659">
        <w:br/>
        <w:t>Meeting ID: 870 2458 1301</w:t>
      </w:r>
      <w:r w:rsidRPr="005E2659">
        <w:br/>
        <w:t>Passcode: 808715</w:t>
      </w:r>
    </w:p>
    <w:p w14:paraId="454954F0" w14:textId="4EC6EA3D" w:rsidR="00310023" w:rsidRDefault="00310023">
      <w:r>
        <w:t>The rates of the An</w:t>
      </w:r>
      <w:r w:rsidR="00233BD8">
        <w:t>sonia</w:t>
      </w:r>
      <w:r>
        <w:t xml:space="preserve"> WPCA shall be modified as follows</w:t>
      </w:r>
      <w:r w:rsidR="005E2659">
        <w:t xml:space="preserve">, </w:t>
      </w:r>
      <w:r w:rsidR="005E2659" w:rsidRPr="005E2659">
        <w:rPr>
          <w:b/>
          <w:bCs/>
          <w:i/>
          <w:iCs/>
          <w:highlight w:val="yellow"/>
        </w:rPr>
        <w:t>subject to a credit applied by the City of Ansonia with the intention that the average customer bill will not increase in the first year following this increase, and providing rate stabilization for ten years thereafter (as further described below).</w:t>
      </w:r>
    </w:p>
    <w:p w14:paraId="01F3A5A9" w14:textId="56D3ADC9" w:rsidR="00310023" w:rsidRDefault="00310023">
      <w:r>
        <w:t>Effective on December 2, 2024</w:t>
      </w:r>
    </w:p>
    <w:p w14:paraId="55CE7E81" w14:textId="77777777" w:rsidR="00310023" w:rsidRDefault="00310023" w:rsidP="00310023">
      <w:pPr>
        <w:pStyle w:val="Heading1"/>
      </w:pPr>
      <w:r>
        <w:t>Metered</w:t>
      </w:r>
      <w:r>
        <w:rPr>
          <w:spacing w:val="-4"/>
        </w:rPr>
        <w:t xml:space="preserve"> </w:t>
      </w:r>
      <w:r>
        <w:t>Customers</w:t>
      </w:r>
      <w:r>
        <w:rPr>
          <w:spacing w:val="-3"/>
        </w:rPr>
        <w:t xml:space="preserve"> </w:t>
      </w:r>
      <w:r>
        <w:t>–</w:t>
      </w:r>
      <w:r>
        <w:rPr>
          <w:spacing w:val="-3"/>
        </w:rPr>
        <w:t xml:space="preserve"> </w:t>
      </w:r>
      <w:r>
        <w:t>Billed</w:t>
      </w:r>
      <w:r>
        <w:rPr>
          <w:spacing w:val="-3"/>
        </w:rPr>
        <w:t xml:space="preserve"> </w:t>
      </w:r>
      <w:r>
        <w:rPr>
          <w:spacing w:val="-2"/>
        </w:rPr>
        <w:t>Monthly</w:t>
      </w:r>
    </w:p>
    <w:p w14:paraId="6DD7FDFE" w14:textId="77777777" w:rsidR="00310023" w:rsidRDefault="00310023" w:rsidP="00310023">
      <w:pPr>
        <w:pStyle w:val="BodyText"/>
        <w:spacing w:before="184"/>
        <w:ind w:left="580"/>
        <w:rPr>
          <w:spacing w:val="-4"/>
        </w:rPr>
      </w:pPr>
      <w:r>
        <w:t>Per</w:t>
      </w:r>
      <w:r>
        <w:rPr>
          <w:spacing w:val="-5"/>
        </w:rPr>
        <w:t xml:space="preserve"> </w:t>
      </w:r>
      <w:r>
        <w:t>100</w:t>
      </w:r>
      <w:r>
        <w:rPr>
          <w:spacing w:val="-2"/>
        </w:rPr>
        <w:t xml:space="preserve"> </w:t>
      </w:r>
      <w:r>
        <w:t>Cubic Feet</w:t>
      </w:r>
      <w:r>
        <w:rPr>
          <w:spacing w:val="-2"/>
        </w:rPr>
        <w:t xml:space="preserve"> </w:t>
      </w:r>
      <w:r>
        <w:rPr>
          <w:spacing w:val="-4"/>
        </w:rPr>
        <w:t>(CF)</w:t>
      </w:r>
    </w:p>
    <w:p w14:paraId="7BBC70D2" w14:textId="77777777" w:rsidR="00233BD8" w:rsidRDefault="00233BD8" w:rsidP="00310023">
      <w:pPr>
        <w:pStyle w:val="BodyText"/>
        <w:spacing w:before="184"/>
        <w:ind w:left="580"/>
        <w:rPr>
          <w:spacing w:val="-4"/>
        </w:rPr>
      </w:pPr>
    </w:p>
    <w:p w14:paraId="6CF447D2" w14:textId="77777777" w:rsidR="00233BD8" w:rsidRDefault="00233BD8" w:rsidP="00233BD8">
      <w:pPr>
        <w:pStyle w:val="BodyText"/>
        <w:ind w:left="580"/>
        <w:rPr>
          <w:spacing w:val="-2"/>
          <w:u w:val="single"/>
        </w:rPr>
      </w:pPr>
      <w:r>
        <w:rPr>
          <w:u w:val="single"/>
        </w:rPr>
        <w:t>Consumption</w:t>
      </w:r>
      <w:r>
        <w:rPr>
          <w:spacing w:val="-5"/>
          <w:u w:val="single"/>
        </w:rPr>
        <w:t xml:space="preserve"> </w:t>
      </w:r>
      <w:r>
        <w:rPr>
          <w:spacing w:val="-2"/>
          <w:u w:val="single"/>
        </w:rPr>
        <w:t>Charge</w:t>
      </w:r>
    </w:p>
    <w:p w14:paraId="727435B4" w14:textId="77777777" w:rsidR="00233BD8" w:rsidRDefault="00233BD8" w:rsidP="00233BD8">
      <w:pPr>
        <w:pStyle w:val="BodyText"/>
        <w:ind w:left="580"/>
      </w:pPr>
    </w:p>
    <w:tbl>
      <w:tblPr>
        <w:tblW w:w="3690" w:type="dxa"/>
        <w:tblInd w:w="450" w:type="dxa"/>
        <w:tblLook w:val="04A0" w:firstRow="1" w:lastRow="0" w:firstColumn="1" w:lastColumn="0" w:noHBand="0" w:noVBand="1"/>
      </w:tblPr>
      <w:tblGrid>
        <w:gridCol w:w="1980"/>
        <w:gridCol w:w="1710"/>
      </w:tblGrid>
      <w:tr w:rsidR="00233BD8" w:rsidRPr="00010A0D" w14:paraId="7F76A196" w14:textId="77777777" w:rsidTr="00B8773F">
        <w:trPr>
          <w:trHeight w:val="600"/>
        </w:trPr>
        <w:tc>
          <w:tcPr>
            <w:tcW w:w="1980" w:type="dxa"/>
            <w:tcBorders>
              <w:top w:val="nil"/>
              <w:left w:val="nil"/>
              <w:bottom w:val="nil"/>
              <w:right w:val="single" w:sz="4" w:space="0" w:color="auto"/>
            </w:tcBorders>
            <w:shd w:val="clear" w:color="auto" w:fill="auto"/>
            <w:noWrap/>
            <w:vAlign w:val="bottom"/>
            <w:hideMark/>
          </w:tcPr>
          <w:p w14:paraId="6F3D2250" w14:textId="77777777" w:rsidR="00233BD8" w:rsidRPr="00010A0D" w:rsidRDefault="00233BD8" w:rsidP="00B8773F">
            <w:pPr>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75A54DF" w14:textId="77777777" w:rsidR="00233BD8" w:rsidRPr="00010A0D" w:rsidRDefault="00233BD8" w:rsidP="00B8773F">
            <w:pPr>
              <w:jc w:val="center"/>
              <w:rPr>
                <w:rFonts w:eastAsia="Times New Roman"/>
                <w:b/>
                <w:bCs/>
                <w:color w:val="000000"/>
              </w:rPr>
            </w:pPr>
            <w:r w:rsidRPr="00010A0D">
              <w:rPr>
                <w:rFonts w:eastAsia="Times New Roman"/>
                <w:b/>
                <w:bCs/>
                <w:color w:val="000000"/>
              </w:rPr>
              <w:t>Consumption Rate per 100 CF</w:t>
            </w:r>
          </w:p>
        </w:tc>
      </w:tr>
      <w:tr w:rsidR="00233BD8" w:rsidRPr="00010A0D" w14:paraId="23E90D5A" w14:textId="77777777" w:rsidTr="00B8773F">
        <w:trPr>
          <w:trHeight w:val="300"/>
        </w:trPr>
        <w:tc>
          <w:tcPr>
            <w:tcW w:w="1980" w:type="dxa"/>
            <w:tcBorders>
              <w:top w:val="single" w:sz="4" w:space="0" w:color="auto"/>
              <w:left w:val="single" w:sz="4" w:space="0" w:color="auto"/>
              <w:bottom w:val="nil"/>
              <w:right w:val="single" w:sz="4" w:space="0" w:color="auto"/>
            </w:tcBorders>
            <w:shd w:val="clear" w:color="auto" w:fill="auto"/>
            <w:noWrap/>
            <w:vAlign w:val="bottom"/>
            <w:hideMark/>
          </w:tcPr>
          <w:p w14:paraId="0521E8A3" w14:textId="77777777" w:rsidR="00233BD8" w:rsidRPr="00010A0D" w:rsidRDefault="00233BD8" w:rsidP="00B8773F">
            <w:pPr>
              <w:rPr>
                <w:rFonts w:eastAsia="Times New Roman"/>
                <w:color w:val="000000"/>
              </w:rPr>
            </w:pPr>
            <w:r w:rsidRPr="007C061A">
              <w:rPr>
                <w:rFonts w:eastAsia="Times New Roman"/>
                <w:color w:val="000000"/>
              </w:rPr>
              <w:t>Residential single family (5/8 inch)</w:t>
            </w:r>
          </w:p>
        </w:tc>
        <w:tc>
          <w:tcPr>
            <w:tcW w:w="1710" w:type="dxa"/>
            <w:tcBorders>
              <w:top w:val="single" w:sz="4" w:space="0" w:color="auto"/>
              <w:left w:val="nil"/>
              <w:bottom w:val="nil"/>
              <w:right w:val="single" w:sz="4" w:space="0" w:color="auto"/>
            </w:tcBorders>
            <w:shd w:val="clear" w:color="auto" w:fill="auto"/>
            <w:noWrap/>
            <w:vAlign w:val="bottom"/>
            <w:hideMark/>
          </w:tcPr>
          <w:p w14:paraId="00E6737C" w14:textId="77777777" w:rsidR="00233BD8" w:rsidRPr="00010A0D" w:rsidRDefault="00233BD8" w:rsidP="00B8773F">
            <w:pPr>
              <w:jc w:val="center"/>
              <w:rPr>
                <w:rFonts w:eastAsia="Times New Roman"/>
                <w:color w:val="000000"/>
              </w:rPr>
            </w:pPr>
            <w:r w:rsidRPr="00010A0D">
              <w:rPr>
                <w:rFonts w:eastAsia="Times New Roman"/>
                <w:color w:val="000000"/>
              </w:rPr>
              <w:t>$5.15</w:t>
            </w:r>
          </w:p>
        </w:tc>
      </w:tr>
      <w:tr w:rsidR="00233BD8" w:rsidRPr="00010A0D" w14:paraId="53615F72" w14:textId="77777777" w:rsidTr="00B8773F">
        <w:trPr>
          <w:trHeight w:val="300"/>
        </w:trPr>
        <w:tc>
          <w:tcPr>
            <w:tcW w:w="1980" w:type="dxa"/>
            <w:tcBorders>
              <w:top w:val="nil"/>
              <w:left w:val="single" w:sz="4" w:space="0" w:color="auto"/>
              <w:bottom w:val="nil"/>
              <w:right w:val="single" w:sz="4" w:space="0" w:color="auto"/>
            </w:tcBorders>
            <w:shd w:val="clear" w:color="auto" w:fill="auto"/>
            <w:noWrap/>
            <w:vAlign w:val="bottom"/>
            <w:hideMark/>
          </w:tcPr>
          <w:p w14:paraId="3EB1FD1B" w14:textId="77777777" w:rsidR="00233BD8" w:rsidRPr="00010A0D" w:rsidRDefault="00233BD8" w:rsidP="00B8773F">
            <w:pPr>
              <w:rPr>
                <w:rFonts w:eastAsia="Times New Roman"/>
                <w:color w:val="000000"/>
                <w:u w:val="single"/>
              </w:rPr>
            </w:pPr>
            <w:r w:rsidRPr="00010A0D">
              <w:rPr>
                <w:rFonts w:eastAsia="Times New Roman"/>
                <w:color w:val="000000"/>
                <w:u w:val="single"/>
              </w:rPr>
              <w:t>All other:</w:t>
            </w:r>
          </w:p>
        </w:tc>
        <w:tc>
          <w:tcPr>
            <w:tcW w:w="1710" w:type="dxa"/>
            <w:tcBorders>
              <w:top w:val="nil"/>
              <w:left w:val="nil"/>
              <w:bottom w:val="nil"/>
              <w:right w:val="single" w:sz="4" w:space="0" w:color="auto"/>
            </w:tcBorders>
            <w:shd w:val="clear" w:color="auto" w:fill="auto"/>
            <w:noWrap/>
            <w:vAlign w:val="bottom"/>
            <w:hideMark/>
          </w:tcPr>
          <w:p w14:paraId="4D47B7C2" w14:textId="77777777" w:rsidR="00233BD8" w:rsidRPr="00010A0D" w:rsidRDefault="00233BD8" w:rsidP="00B8773F">
            <w:pPr>
              <w:jc w:val="center"/>
              <w:rPr>
                <w:rFonts w:eastAsia="Times New Roman"/>
                <w:color w:val="000000"/>
              </w:rPr>
            </w:pPr>
          </w:p>
        </w:tc>
      </w:tr>
      <w:tr w:rsidR="00233BD8" w:rsidRPr="00010A0D" w14:paraId="2941A2E5" w14:textId="77777777" w:rsidTr="00B8773F">
        <w:trPr>
          <w:trHeight w:val="300"/>
        </w:trPr>
        <w:tc>
          <w:tcPr>
            <w:tcW w:w="1980" w:type="dxa"/>
            <w:tcBorders>
              <w:top w:val="nil"/>
              <w:left w:val="single" w:sz="4" w:space="0" w:color="auto"/>
              <w:bottom w:val="nil"/>
              <w:right w:val="single" w:sz="4" w:space="0" w:color="auto"/>
            </w:tcBorders>
            <w:shd w:val="clear" w:color="auto" w:fill="auto"/>
            <w:vAlign w:val="center"/>
            <w:hideMark/>
          </w:tcPr>
          <w:p w14:paraId="59978DAD" w14:textId="77777777" w:rsidR="00233BD8" w:rsidRPr="00010A0D" w:rsidRDefault="00233BD8" w:rsidP="00B8773F">
            <w:pPr>
              <w:rPr>
                <w:rFonts w:eastAsia="Times New Roman"/>
                <w:color w:val="000000"/>
              </w:rPr>
            </w:pPr>
            <w:r w:rsidRPr="00010A0D">
              <w:rPr>
                <w:rFonts w:eastAsia="Times New Roman"/>
                <w:color w:val="000000"/>
              </w:rPr>
              <w:t>5/8 inch</w:t>
            </w:r>
          </w:p>
        </w:tc>
        <w:tc>
          <w:tcPr>
            <w:tcW w:w="1710" w:type="dxa"/>
            <w:tcBorders>
              <w:top w:val="nil"/>
              <w:left w:val="nil"/>
              <w:bottom w:val="nil"/>
              <w:right w:val="single" w:sz="4" w:space="0" w:color="auto"/>
            </w:tcBorders>
            <w:shd w:val="clear" w:color="auto" w:fill="auto"/>
            <w:noWrap/>
            <w:vAlign w:val="bottom"/>
            <w:hideMark/>
          </w:tcPr>
          <w:p w14:paraId="262309F4" w14:textId="77777777" w:rsidR="00233BD8" w:rsidRPr="00010A0D" w:rsidRDefault="00233BD8" w:rsidP="00B8773F">
            <w:pPr>
              <w:jc w:val="center"/>
              <w:rPr>
                <w:rFonts w:eastAsia="Times New Roman"/>
                <w:color w:val="000000"/>
              </w:rPr>
            </w:pPr>
            <w:r w:rsidRPr="00010A0D">
              <w:rPr>
                <w:rFonts w:eastAsia="Times New Roman"/>
                <w:color w:val="000000"/>
              </w:rPr>
              <w:t>$6.81</w:t>
            </w:r>
          </w:p>
        </w:tc>
      </w:tr>
      <w:tr w:rsidR="00233BD8" w:rsidRPr="00010A0D" w14:paraId="31DA1EF0" w14:textId="77777777" w:rsidTr="00B8773F">
        <w:trPr>
          <w:trHeight w:val="300"/>
        </w:trPr>
        <w:tc>
          <w:tcPr>
            <w:tcW w:w="1980" w:type="dxa"/>
            <w:tcBorders>
              <w:top w:val="nil"/>
              <w:left w:val="single" w:sz="4" w:space="0" w:color="auto"/>
              <w:bottom w:val="nil"/>
              <w:right w:val="single" w:sz="4" w:space="0" w:color="auto"/>
            </w:tcBorders>
            <w:shd w:val="clear" w:color="auto" w:fill="auto"/>
            <w:vAlign w:val="center"/>
            <w:hideMark/>
          </w:tcPr>
          <w:p w14:paraId="5612E915" w14:textId="77777777" w:rsidR="00233BD8" w:rsidRPr="00010A0D" w:rsidRDefault="00233BD8" w:rsidP="00B8773F">
            <w:pPr>
              <w:rPr>
                <w:rFonts w:eastAsia="Times New Roman"/>
                <w:color w:val="000000"/>
              </w:rPr>
            </w:pPr>
            <w:r w:rsidRPr="00010A0D">
              <w:rPr>
                <w:rFonts w:eastAsia="Times New Roman"/>
                <w:color w:val="000000"/>
              </w:rPr>
              <w:t>3/4 inch</w:t>
            </w:r>
          </w:p>
        </w:tc>
        <w:tc>
          <w:tcPr>
            <w:tcW w:w="1710" w:type="dxa"/>
            <w:tcBorders>
              <w:top w:val="nil"/>
              <w:left w:val="nil"/>
              <w:bottom w:val="nil"/>
              <w:right w:val="single" w:sz="4" w:space="0" w:color="auto"/>
            </w:tcBorders>
            <w:shd w:val="clear" w:color="auto" w:fill="auto"/>
            <w:noWrap/>
            <w:vAlign w:val="bottom"/>
            <w:hideMark/>
          </w:tcPr>
          <w:p w14:paraId="2E84A5D1" w14:textId="77777777" w:rsidR="00233BD8" w:rsidRPr="00010A0D" w:rsidRDefault="00233BD8" w:rsidP="00B8773F">
            <w:pPr>
              <w:jc w:val="center"/>
              <w:rPr>
                <w:rFonts w:eastAsia="Times New Roman"/>
                <w:color w:val="000000"/>
              </w:rPr>
            </w:pPr>
            <w:r w:rsidRPr="00010A0D">
              <w:rPr>
                <w:rFonts w:eastAsia="Times New Roman"/>
                <w:color w:val="000000"/>
              </w:rPr>
              <w:t>$6.81</w:t>
            </w:r>
          </w:p>
        </w:tc>
      </w:tr>
      <w:tr w:rsidR="00233BD8" w:rsidRPr="00010A0D" w14:paraId="7B1A014E" w14:textId="77777777" w:rsidTr="00B8773F">
        <w:trPr>
          <w:trHeight w:val="300"/>
        </w:trPr>
        <w:tc>
          <w:tcPr>
            <w:tcW w:w="1980" w:type="dxa"/>
            <w:tcBorders>
              <w:top w:val="nil"/>
              <w:left w:val="single" w:sz="4" w:space="0" w:color="auto"/>
              <w:bottom w:val="nil"/>
              <w:right w:val="single" w:sz="4" w:space="0" w:color="auto"/>
            </w:tcBorders>
            <w:shd w:val="clear" w:color="auto" w:fill="auto"/>
            <w:vAlign w:val="center"/>
            <w:hideMark/>
          </w:tcPr>
          <w:p w14:paraId="17E1B921" w14:textId="77777777" w:rsidR="00233BD8" w:rsidRPr="00010A0D" w:rsidRDefault="00233BD8" w:rsidP="00B8773F">
            <w:pPr>
              <w:rPr>
                <w:rFonts w:eastAsia="Times New Roman"/>
                <w:color w:val="000000"/>
              </w:rPr>
            </w:pPr>
            <w:r w:rsidRPr="00010A0D">
              <w:rPr>
                <w:rFonts w:eastAsia="Times New Roman"/>
                <w:color w:val="000000"/>
              </w:rPr>
              <w:t>1 inch</w:t>
            </w:r>
          </w:p>
        </w:tc>
        <w:tc>
          <w:tcPr>
            <w:tcW w:w="1710" w:type="dxa"/>
            <w:tcBorders>
              <w:top w:val="nil"/>
              <w:left w:val="nil"/>
              <w:bottom w:val="nil"/>
              <w:right w:val="single" w:sz="4" w:space="0" w:color="auto"/>
            </w:tcBorders>
            <w:shd w:val="clear" w:color="auto" w:fill="auto"/>
            <w:noWrap/>
            <w:vAlign w:val="bottom"/>
            <w:hideMark/>
          </w:tcPr>
          <w:p w14:paraId="4987D598" w14:textId="77777777" w:rsidR="00233BD8" w:rsidRPr="00010A0D" w:rsidRDefault="00233BD8" w:rsidP="00B8773F">
            <w:pPr>
              <w:jc w:val="center"/>
              <w:rPr>
                <w:rFonts w:eastAsia="Times New Roman"/>
                <w:color w:val="000000"/>
              </w:rPr>
            </w:pPr>
            <w:r w:rsidRPr="00010A0D">
              <w:rPr>
                <w:rFonts w:eastAsia="Times New Roman"/>
                <w:color w:val="000000"/>
              </w:rPr>
              <w:t>$6.81</w:t>
            </w:r>
          </w:p>
        </w:tc>
      </w:tr>
      <w:tr w:rsidR="00233BD8" w:rsidRPr="00010A0D" w14:paraId="54ACDBDD" w14:textId="77777777" w:rsidTr="00B8773F">
        <w:trPr>
          <w:trHeight w:val="300"/>
        </w:trPr>
        <w:tc>
          <w:tcPr>
            <w:tcW w:w="1980" w:type="dxa"/>
            <w:tcBorders>
              <w:top w:val="nil"/>
              <w:left w:val="single" w:sz="4" w:space="0" w:color="auto"/>
              <w:bottom w:val="nil"/>
              <w:right w:val="single" w:sz="4" w:space="0" w:color="auto"/>
            </w:tcBorders>
            <w:shd w:val="clear" w:color="auto" w:fill="auto"/>
            <w:vAlign w:val="center"/>
            <w:hideMark/>
          </w:tcPr>
          <w:p w14:paraId="2FB10C6A" w14:textId="77777777" w:rsidR="00233BD8" w:rsidRPr="00010A0D" w:rsidRDefault="00233BD8" w:rsidP="00B8773F">
            <w:pPr>
              <w:rPr>
                <w:rFonts w:eastAsia="Times New Roman"/>
                <w:color w:val="000000"/>
              </w:rPr>
            </w:pPr>
            <w:r w:rsidRPr="00010A0D">
              <w:rPr>
                <w:rFonts w:eastAsia="Times New Roman"/>
                <w:color w:val="000000"/>
              </w:rPr>
              <w:t>1 1/2 inch</w:t>
            </w:r>
          </w:p>
        </w:tc>
        <w:tc>
          <w:tcPr>
            <w:tcW w:w="1710" w:type="dxa"/>
            <w:tcBorders>
              <w:top w:val="nil"/>
              <w:left w:val="nil"/>
              <w:bottom w:val="nil"/>
              <w:right w:val="single" w:sz="4" w:space="0" w:color="auto"/>
            </w:tcBorders>
            <w:shd w:val="clear" w:color="auto" w:fill="auto"/>
            <w:noWrap/>
            <w:vAlign w:val="bottom"/>
            <w:hideMark/>
          </w:tcPr>
          <w:p w14:paraId="36361ABF" w14:textId="77777777" w:rsidR="00233BD8" w:rsidRPr="00010A0D" w:rsidRDefault="00233BD8" w:rsidP="00B8773F">
            <w:pPr>
              <w:jc w:val="center"/>
              <w:rPr>
                <w:rFonts w:eastAsia="Times New Roman"/>
                <w:color w:val="000000"/>
              </w:rPr>
            </w:pPr>
            <w:r w:rsidRPr="00010A0D">
              <w:rPr>
                <w:rFonts w:eastAsia="Times New Roman"/>
                <w:color w:val="000000"/>
              </w:rPr>
              <w:t>$6.81</w:t>
            </w:r>
          </w:p>
        </w:tc>
      </w:tr>
      <w:tr w:rsidR="00233BD8" w:rsidRPr="00010A0D" w14:paraId="0A04EA2B" w14:textId="77777777" w:rsidTr="00B8773F">
        <w:trPr>
          <w:trHeight w:val="300"/>
        </w:trPr>
        <w:tc>
          <w:tcPr>
            <w:tcW w:w="1980" w:type="dxa"/>
            <w:tcBorders>
              <w:top w:val="nil"/>
              <w:left w:val="single" w:sz="4" w:space="0" w:color="auto"/>
              <w:bottom w:val="nil"/>
              <w:right w:val="single" w:sz="4" w:space="0" w:color="auto"/>
            </w:tcBorders>
            <w:shd w:val="clear" w:color="auto" w:fill="auto"/>
            <w:vAlign w:val="center"/>
            <w:hideMark/>
          </w:tcPr>
          <w:p w14:paraId="067B9C42" w14:textId="77777777" w:rsidR="00233BD8" w:rsidRPr="00010A0D" w:rsidRDefault="00233BD8" w:rsidP="00B8773F">
            <w:pPr>
              <w:rPr>
                <w:rFonts w:eastAsia="Times New Roman"/>
                <w:color w:val="000000"/>
              </w:rPr>
            </w:pPr>
            <w:r w:rsidRPr="00010A0D">
              <w:rPr>
                <w:rFonts w:eastAsia="Times New Roman"/>
                <w:color w:val="000000"/>
              </w:rPr>
              <w:t>2 inch</w:t>
            </w:r>
          </w:p>
        </w:tc>
        <w:tc>
          <w:tcPr>
            <w:tcW w:w="1710" w:type="dxa"/>
            <w:tcBorders>
              <w:top w:val="nil"/>
              <w:left w:val="nil"/>
              <w:bottom w:val="nil"/>
              <w:right w:val="single" w:sz="4" w:space="0" w:color="auto"/>
            </w:tcBorders>
            <w:shd w:val="clear" w:color="auto" w:fill="auto"/>
            <w:noWrap/>
            <w:vAlign w:val="bottom"/>
            <w:hideMark/>
          </w:tcPr>
          <w:p w14:paraId="4F2643D4" w14:textId="77777777" w:rsidR="00233BD8" w:rsidRPr="00010A0D" w:rsidRDefault="00233BD8" w:rsidP="00B8773F">
            <w:pPr>
              <w:jc w:val="center"/>
              <w:rPr>
                <w:rFonts w:eastAsia="Times New Roman"/>
                <w:color w:val="000000"/>
              </w:rPr>
            </w:pPr>
            <w:r w:rsidRPr="00010A0D">
              <w:rPr>
                <w:rFonts w:eastAsia="Times New Roman"/>
                <w:color w:val="000000"/>
              </w:rPr>
              <w:t>$6.81</w:t>
            </w:r>
          </w:p>
        </w:tc>
      </w:tr>
      <w:tr w:rsidR="00233BD8" w:rsidRPr="00010A0D" w14:paraId="4D594152" w14:textId="77777777" w:rsidTr="00B8773F">
        <w:trPr>
          <w:trHeight w:val="300"/>
        </w:trPr>
        <w:tc>
          <w:tcPr>
            <w:tcW w:w="1980" w:type="dxa"/>
            <w:tcBorders>
              <w:top w:val="nil"/>
              <w:left w:val="single" w:sz="4" w:space="0" w:color="auto"/>
              <w:right w:val="single" w:sz="4" w:space="0" w:color="auto"/>
            </w:tcBorders>
            <w:shd w:val="clear" w:color="auto" w:fill="auto"/>
            <w:vAlign w:val="center"/>
            <w:hideMark/>
          </w:tcPr>
          <w:p w14:paraId="79983867" w14:textId="77777777" w:rsidR="00233BD8" w:rsidRPr="00010A0D" w:rsidRDefault="00233BD8" w:rsidP="00B8773F">
            <w:pPr>
              <w:rPr>
                <w:rFonts w:eastAsia="Times New Roman"/>
                <w:color w:val="000000"/>
              </w:rPr>
            </w:pPr>
            <w:r w:rsidRPr="00010A0D">
              <w:rPr>
                <w:rFonts w:eastAsia="Times New Roman"/>
                <w:color w:val="000000"/>
              </w:rPr>
              <w:t>6 inch</w:t>
            </w:r>
          </w:p>
        </w:tc>
        <w:tc>
          <w:tcPr>
            <w:tcW w:w="1710" w:type="dxa"/>
            <w:tcBorders>
              <w:top w:val="nil"/>
              <w:left w:val="nil"/>
              <w:right w:val="single" w:sz="4" w:space="0" w:color="auto"/>
            </w:tcBorders>
            <w:shd w:val="clear" w:color="auto" w:fill="auto"/>
            <w:noWrap/>
            <w:vAlign w:val="bottom"/>
            <w:hideMark/>
          </w:tcPr>
          <w:p w14:paraId="5FB8BDE1" w14:textId="77777777" w:rsidR="00233BD8" w:rsidRPr="00010A0D" w:rsidRDefault="00233BD8" w:rsidP="00B8773F">
            <w:pPr>
              <w:jc w:val="center"/>
              <w:rPr>
                <w:rFonts w:eastAsia="Times New Roman"/>
                <w:color w:val="000000"/>
              </w:rPr>
            </w:pPr>
            <w:r w:rsidRPr="00010A0D">
              <w:rPr>
                <w:rFonts w:eastAsia="Times New Roman"/>
                <w:color w:val="000000"/>
              </w:rPr>
              <w:t>$6.81</w:t>
            </w:r>
          </w:p>
        </w:tc>
      </w:tr>
      <w:tr w:rsidR="00233BD8" w:rsidRPr="00010A0D" w14:paraId="6F7F32D0" w14:textId="77777777" w:rsidTr="00B8773F">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42BC5CC" w14:textId="77777777" w:rsidR="00233BD8" w:rsidRPr="00010A0D" w:rsidRDefault="00233BD8" w:rsidP="00B8773F">
            <w:pPr>
              <w:rPr>
                <w:rFonts w:eastAsia="Times New Roman"/>
                <w:color w:val="000000"/>
              </w:rPr>
            </w:pPr>
            <w:r w:rsidRPr="00010A0D">
              <w:rPr>
                <w:rFonts w:eastAsia="Times New Roman"/>
                <w:color w:val="000000"/>
              </w:rPr>
              <w:lastRenderedPageBreak/>
              <w:t>8 inch</w:t>
            </w:r>
          </w:p>
        </w:tc>
        <w:tc>
          <w:tcPr>
            <w:tcW w:w="1710" w:type="dxa"/>
            <w:tcBorders>
              <w:top w:val="nil"/>
              <w:left w:val="nil"/>
              <w:bottom w:val="single" w:sz="4" w:space="0" w:color="auto"/>
              <w:right w:val="single" w:sz="4" w:space="0" w:color="auto"/>
            </w:tcBorders>
            <w:shd w:val="clear" w:color="auto" w:fill="auto"/>
            <w:noWrap/>
            <w:vAlign w:val="bottom"/>
            <w:hideMark/>
          </w:tcPr>
          <w:p w14:paraId="4E50093C" w14:textId="77777777" w:rsidR="00233BD8" w:rsidRPr="00010A0D" w:rsidRDefault="00233BD8" w:rsidP="00B8773F">
            <w:pPr>
              <w:jc w:val="center"/>
              <w:rPr>
                <w:rFonts w:eastAsia="Times New Roman"/>
                <w:color w:val="000000"/>
              </w:rPr>
            </w:pPr>
            <w:r w:rsidRPr="00010A0D">
              <w:rPr>
                <w:rFonts w:eastAsia="Times New Roman"/>
                <w:color w:val="000000"/>
              </w:rPr>
              <w:t>$6.81</w:t>
            </w:r>
          </w:p>
        </w:tc>
      </w:tr>
    </w:tbl>
    <w:p w14:paraId="03DD995E" w14:textId="77777777" w:rsidR="00233BD8" w:rsidRDefault="00233BD8" w:rsidP="00233BD8">
      <w:pPr>
        <w:pStyle w:val="BodyText"/>
        <w:spacing w:before="184"/>
      </w:pPr>
    </w:p>
    <w:p w14:paraId="1237DF07" w14:textId="77777777" w:rsidR="00310023" w:rsidRDefault="00310023" w:rsidP="00310023">
      <w:pPr>
        <w:pStyle w:val="BodyText"/>
        <w:rPr>
          <w:sz w:val="30"/>
        </w:rPr>
      </w:pPr>
    </w:p>
    <w:p w14:paraId="0473DCCC" w14:textId="77777777" w:rsidR="00310023" w:rsidRDefault="00310023" w:rsidP="00310023">
      <w:pPr>
        <w:pStyle w:val="BodyText"/>
        <w:ind w:left="580"/>
      </w:pPr>
      <w:r>
        <w:rPr>
          <w:u w:val="single"/>
        </w:rPr>
        <w:t>Monthly</w:t>
      </w:r>
      <w:r>
        <w:rPr>
          <w:spacing w:val="-3"/>
          <w:u w:val="single"/>
        </w:rPr>
        <w:t xml:space="preserve"> </w:t>
      </w:r>
      <w:r>
        <w:rPr>
          <w:u w:val="single"/>
        </w:rPr>
        <w:t>Service</w:t>
      </w:r>
      <w:r>
        <w:rPr>
          <w:spacing w:val="-2"/>
          <w:u w:val="single"/>
        </w:rPr>
        <w:t xml:space="preserve"> Fee</w:t>
      </w:r>
    </w:p>
    <w:p w14:paraId="6BEA3BFF" w14:textId="77777777" w:rsidR="00310023" w:rsidRDefault="00310023" w:rsidP="00310023">
      <w:pPr>
        <w:pStyle w:val="BodyText"/>
      </w:pPr>
      <w:r>
        <w:tab/>
      </w:r>
    </w:p>
    <w:tbl>
      <w:tblPr>
        <w:tblW w:w="3690" w:type="dxa"/>
        <w:tblInd w:w="450" w:type="dxa"/>
        <w:tblLook w:val="04A0" w:firstRow="1" w:lastRow="0" w:firstColumn="1" w:lastColumn="0" w:noHBand="0" w:noVBand="1"/>
      </w:tblPr>
      <w:tblGrid>
        <w:gridCol w:w="2070"/>
        <w:gridCol w:w="1620"/>
      </w:tblGrid>
      <w:tr w:rsidR="00310023" w:rsidRPr="003C27B3" w14:paraId="1991CF96" w14:textId="77777777" w:rsidTr="00D62326">
        <w:trPr>
          <w:trHeight w:val="600"/>
        </w:trPr>
        <w:tc>
          <w:tcPr>
            <w:tcW w:w="2070" w:type="dxa"/>
            <w:tcBorders>
              <w:top w:val="nil"/>
              <w:left w:val="nil"/>
              <w:bottom w:val="nil"/>
              <w:right w:val="nil"/>
            </w:tcBorders>
            <w:shd w:val="clear" w:color="auto" w:fill="auto"/>
            <w:noWrap/>
            <w:vAlign w:val="bottom"/>
            <w:hideMark/>
          </w:tcPr>
          <w:p w14:paraId="140CA731" w14:textId="77777777" w:rsidR="00310023" w:rsidRPr="003C27B3" w:rsidRDefault="00310023" w:rsidP="00D62326">
            <w:pPr>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476B886" w14:textId="77777777" w:rsidR="00310023" w:rsidRPr="003C27B3" w:rsidRDefault="00310023" w:rsidP="00D62326">
            <w:pPr>
              <w:jc w:val="center"/>
              <w:rPr>
                <w:rFonts w:eastAsia="Times New Roman"/>
                <w:b/>
                <w:bCs/>
                <w:color w:val="000000"/>
              </w:rPr>
            </w:pPr>
            <w:r w:rsidRPr="003C27B3">
              <w:rPr>
                <w:rFonts w:eastAsia="Times New Roman"/>
                <w:b/>
                <w:bCs/>
                <w:color w:val="000000"/>
              </w:rPr>
              <w:t xml:space="preserve">Monthly </w:t>
            </w:r>
            <w:r>
              <w:rPr>
                <w:rFonts w:eastAsia="Times New Roman"/>
                <w:b/>
                <w:bCs/>
                <w:color w:val="000000"/>
              </w:rPr>
              <w:t xml:space="preserve">Service </w:t>
            </w:r>
            <w:r w:rsidRPr="003C27B3">
              <w:rPr>
                <w:rFonts w:eastAsia="Times New Roman"/>
                <w:b/>
                <w:bCs/>
                <w:color w:val="000000"/>
              </w:rPr>
              <w:t>Fee</w:t>
            </w:r>
            <w:r>
              <w:rPr>
                <w:rStyle w:val="FootnoteReference"/>
                <w:rFonts w:eastAsia="Times New Roman"/>
                <w:b/>
                <w:bCs/>
                <w:color w:val="000000"/>
              </w:rPr>
              <w:footnoteReference w:id="1"/>
            </w:r>
          </w:p>
        </w:tc>
      </w:tr>
      <w:tr w:rsidR="00310023" w:rsidRPr="003C27B3" w14:paraId="23CEECBC" w14:textId="77777777" w:rsidTr="00D62326">
        <w:trPr>
          <w:trHeight w:val="300"/>
        </w:trPr>
        <w:tc>
          <w:tcPr>
            <w:tcW w:w="2070" w:type="dxa"/>
            <w:tcBorders>
              <w:top w:val="single" w:sz="4" w:space="0" w:color="auto"/>
              <w:left w:val="single" w:sz="4" w:space="0" w:color="auto"/>
              <w:bottom w:val="nil"/>
              <w:right w:val="single" w:sz="4" w:space="0" w:color="auto"/>
            </w:tcBorders>
            <w:shd w:val="clear" w:color="auto" w:fill="auto"/>
            <w:noWrap/>
            <w:vAlign w:val="bottom"/>
            <w:hideMark/>
          </w:tcPr>
          <w:p w14:paraId="09D57E58" w14:textId="77777777" w:rsidR="00310023" w:rsidRPr="003C27B3" w:rsidRDefault="00310023" w:rsidP="00D62326">
            <w:pPr>
              <w:rPr>
                <w:rFonts w:eastAsia="Times New Roman"/>
                <w:color w:val="000000"/>
              </w:rPr>
            </w:pPr>
            <w:r w:rsidRPr="003C27B3">
              <w:rPr>
                <w:rFonts w:eastAsia="Times New Roman"/>
                <w:color w:val="000000"/>
              </w:rPr>
              <w:t>Resi</w:t>
            </w:r>
            <w:r>
              <w:rPr>
                <w:rFonts w:eastAsia="Times New Roman"/>
                <w:color w:val="000000"/>
              </w:rPr>
              <w:t>dential</w:t>
            </w:r>
            <w:r w:rsidRPr="003C27B3">
              <w:rPr>
                <w:rFonts w:eastAsia="Times New Roman"/>
                <w:color w:val="000000"/>
              </w:rPr>
              <w:t xml:space="preserve"> single</w:t>
            </w:r>
            <w:r>
              <w:rPr>
                <w:rFonts w:eastAsia="Times New Roman"/>
                <w:color w:val="000000"/>
              </w:rPr>
              <w:t xml:space="preserve"> family (5/8 inch)</w:t>
            </w:r>
          </w:p>
        </w:tc>
        <w:tc>
          <w:tcPr>
            <w:tcW w:w="1620" w:type="dxa"/>
            <w:tcBorders>
              <w:top w:val="single" w:sz="4" w:space="0" w:color="auto"/>
              <w:left w:val="nil"/>
              <w:bottom w:val="nil"/>
              <w:right w:val="single" w:sz="4" w:space="0" w:color="auto"/>
            </w:tcBorders>
            <w:shd w:val="clear" w:color="auto" w:fill="auto"/>
            <w:noWrap/>
            <w:vAlign w:val="bottom"/>
            <w:hideMark/>
          </w:tcPr>
          <w:p w14:paraId="5E5CA911" w14:textId="77777777" w:rsidR="00310023" w:rsidRPr="003C27B3" w:rsidRDefault="00310023" w:rsidP="00D62326">
            <w:pPr>
              <w:jc w:val="center"/>
              <w:rPr>
                <w:rFonts w:eastAsia="Times New Roman"/>
                <w:color w:val="000000"/>
              </w:rPr>
            </w:pPr>
            <w:r w:rsidRPr="003C27B3">
              <w:rPr>
                <w:rFonts w:eastAsia="Times New Roman"/>
                <w:color w:val="000000"/>
              </w:rPr>
              <w:t>$26.45</w:t>
            </w:r>
          </w:p>
        </w:tc>
      </w:tr>
      <w:tr w:rsidR="00310023" w:rsidRPr="003C27B3" w14:paraId="68434DEC" w14:textId="77777777" w:rsidTr="00D62326">
        <w:trPr>
          <w:trHeight w:val="300"/>
        </w:trPr>
        <w:tc>
          <w:tcPr>
            <w:tcW w:w="2070" w:type="dxa"/>
            <w:tcBorders>
              <w:top w:val="nil"/>
              <w:left w:val="single" w:sz="4" w:space="0" w:color="auto"/>
              <w:bottom w:val="nil"/>
              <w:right w:val="single" w:sz="4" w:space="0" w:color="auto"/>
            </w:tcBorders>
            <w:shd w:val="clear" w:color="auto" w:fill="auto"/>
            <w:noWrap/>
            <w:vAlign w:val="bottom"/>
            <w:hideMark/>
          </w:tcPr>
          <w:p w14:paraId="545CAFED" w14:textId="77777777" w:rsidR="00310023" w:rsidRPr="003C27B3" w:rsidRDefault="00310023" w:rsidP="00D62326">
            <w:pPr>
              <w:rPr>
                <w:rFonts w:eastAsia="Times New Roman"/>
                <w:color w:val="000000"/>
                <w:u w:val="single"/>
              </w:rPr>
            </w:pPr>
            <w:r w:rsidRPr="003C27B3">
              <w:rPr>
                <w:rFonts w:eastAsia="Times New Roman"/>
                <w:color w:val="000000"/>
                <w:u w:val="single"/>
              </w:rPr>
              <w:t>All other:</w:t>
            </w:r>
          </w:p>
        </w:tc>
        <w:tc>
          <w:tcPr>
            <w:tcW w:w="1620" w:type="dxa"/>
            <w:tcBorders>
              <w:top w:val="nil"/>
              <w:left w:val="nil"/>
              <w:bottom w:val="nil"/>
              <w:right w:val="single" w:sz="4" w:space="0" w:color="auto"/>
            </w:tcBorders>
            <w:shd w:val="clear" w:color="auto" w:fill="auto"/>
            <w:noWrap/>
            <w:vAlign w:val="bottom"/>
            <w:hideMark/>
          </w:tcPr>
          <w:p w14:paraId="02D609D1" w14:textId="77777777" w:rsidR="00310023" w:rsidRPr="003C27B3" w:rsidRDefault="00310023" w:rsidP="00D62326">
            <w:pPr>
              <w:jc w:val="center"/>
              <w:rPr>
                <w:rFonts w:eastAsia="Times New Roman"/>
                <w:color w:val="000000"/>
              </w:rPr>
            </w:pPr>
          </w:p>
        </w:tc>
      </w:tr>
      <w:tr w:rsidR="00310023" w:rsidRPr="003C27B3" w14:paraId="36F85984" w14:textId="77777777" w:rsidTr="00D62326">
        <w:trPr>
          <w:trHeight w:val="300"/>
        </w:trPr>
        <w:tc>
          <w:tcPr>
            <w:tcW w:w="2070" w:type="dxa"/>
            <w:tcBorders>
              <w:top w:val="nil"/>
              <w:left w:val="single" w:sz="4" w:space="0" w:color="auto"/>
              <w:bottom w:val="nil"/>
              <w:right w:val="single" w:sz="4" w:space="0" w:color="auto"/>
            </w:tcBorders>
            <w:shd w:val="clear" w:color="auto" w:fill="auto"/>
            <w:vAlign w:val="center"/>
            <w:hideMark/>
          </w:tcPr>
          <w:p w14:paraId="79113D03" w14:textId="77777777" w:rsidR="00310023" w:rsidRPr="003C27B3" w:rsidRDefault="00310023" w:rsidP="00D62326">
            <w:pPr>
              <w:rPr>
                <w:rFonts w:eastAsia="Times New Roman"/>
                <w:color w:val="000000"/>
              </w:rPr>
            </w:pPr>
            <w:r w:rsidRPr="003C27B3">
              <w:rPr>
                <w:rFonts w:eastAsia="Times New Roman"/>
                <w:color w:val="000000"/>
              </w:rPr>
              <w:t>5/8 inch</w:t>
            </w:r>
          </w:p>
        </w:tc>
        <w:tc>
          <w:tcPr>
            <w:tcW w:w="1620" w:type="dxa"/>
            <w:tcBorders>
              <w:top w:val="nil"/>
              <w:left w:val="nil"/>
              <w:bottom w:val="nil"/>
              <w:right w:val="single" w:sz="4" w:space="0" w:color="auto"/>
            </w:tcBorders>
            <w:shd w:val="clear" w:color="auto" w:fill="auto"/>
            <w:noWrap/>
            <w:vAlign w:val="bottom"/>
            <w:hideMark/>
          </w:tcPr>
          <w:p w14:paraId="255E8A9C" w14:textId="77777777" w:rsidR="00310023" w:rsidRPr="003C27B3" w:rsidRDefault="00310023" w:rsidP="00D62326">
            <w:pPr>
              <w:jc w:val="center"/>
              <w:rPr>
                <w:rFonts w:eastAsia="Times New Roman"/>
                <w:color w:val="000000"/>
              </w:rPr>
            </w:pPr>
            <w:r w:rsidRPr="003C27B3">
              <w:rPr>
                <w:rFonts w:eastAsia="Times New Roman"/>
                <w:color w:val="000000"/>
              </w:rPr>
              <w:t>$39.68</w:t>
            </w:r>
          </w:p>
        </w:tc>
      </w:tr>
      <w:tr w:rsidR="00310023" w:rsidRPr="003C27B3" w14:paraId="5159DA1F" w14:textId="77777777" w:rsidTr="00D62326">
        <w:trPr>
          <w:trHeight w:val="300"/>
        </w:trPr>
        <w:tc>
          <w:tcPr>
            <w:tcW w:w="2070" w:type="dxa"/>
            <w:tcBorders>
              <w:top w:val="nil"/>
              <w:left w:val="single" w:sz="4" w:space="0" w:color="auto"/>
              <w:bottom w:val="nil"/>
              <w:right w:val="single" w:sz="4" w:space="0" w:color="auto"/>
            </w:tcBorders>
            <w:shd w:val="clear" w:color="auto" w:fill="auto"/>
            <w:vAlign w:val="center"/>
            <w:hideMark/>
          </w:tcPr>
          <w:p w14:paraId="708EE46F" w14:textId="77777777" w:rsidR="00310023" w:rsidRPr="003C27B3" w:rsidRDefault="00310023" w:rsidP="00D62326">
            <w:pPr>
              <w:rPr>
                <w:rFonts w:eastAsia="Times New Roman"/>
                <w:color w:val="000000"/>
              </w:rPr>
            </w:pPr>
            <w:r w:rsidRPr="003C27B3">
              <w:rPr>
                <w:rFonts w:eastAsia="Times New Roman"/>
                <w:color w:val="000000"/>
              </w:rPr>
              <w:t>3/4 inch</w:t>
            </w:r>
          </w:p>
        </w:tc>
        <w:tc>
          <w:tcPr>
            <w:tcW w:w="1620" w:type="dxa"/>
            <w:tcBorders>
              <w:top w:val="nil"/>
              <w:left w:val="nil"/>
              <w:bottom w:val="nil"/>
              <w:right w:val="single" w:sz="4" w:space="0" w:color="auto"/>
            </w:tcBorders>
            <w:shd w:val="clear" w:color="auto" w:fill="auto"/>
            <w:noWrap/>
            <w:vAlign w:val="bottom"/>
            <w:hideMark/>
          </w:tcPr>
          <w:p w14:paraId="34DE5B1B" w14:textId="77777777" w:rsidR="00310023" w:rsidRPr="003C27B3" w:rsidRDefault="00310023" w:rsidP="00D62326">
            <w:pPr>
              <w:jc w:val="center"/>
              <w:rPr>
                <w:rFonts w:eastAsia="Times New Roman"/>
                <w:color w:val="000000"/>
              </w:rPr>
            </w:pPr>
            <w:r w:rsidRPr="003C27B3">
              <w:rPr>
                <w:rFonts w:eastAsia="Times New Roman"/>
                <w:color w:val="000000"/>
              </w:rPr>
              <w:t>$52.90</w:t>
            </w:r>
          </w:p>
        </w:tc>
      </w:tr>
      <w:tr w:rsidR="00310023" w:rsidRPr="003C27B3" w14:paraId="115BCB24" w14:textId="77777777" w:rsidTr="00D62326">
        <w:trPr>
          <w:trHeight w:val="300"/>
        </w:trPr>
        <w:tc>
          <w:tcPr>
            <w:tcW w:w="2070" w:type="dxa"/>
            <w:tcBorders>
              <w:top w:val="nil"/>
              <w:left w:val="single" w:sz="4" w:space="0" w:color="auto"/>
              <w:bottom w:val="nil"/>
              <w:right w:val="single" w:sz="4" w:space="0" w:color="auto"/>
            </w:tcBorders>
            <w:shd w:val="clear" w:color="auto" w:fill="auto"/>
            <w:vAlign w:val="center"/>
            <w:hideMark/>
          </w:tcPr>
          <w:p w14:paraId="7F11C3C1" w14:textId="77777777" w:rsidR="00310023" w:rsidRPr="003C27B3" w:rsidRDefault="00310023" w:rsidP="00D62326">
            <w:pPr>
              <w:rPr>
                <w:rFonts w:eastAsia="Times New Roman"/>
                <w:color w:val="000000"/>
              </w:rPr>
            </w:pPr>
            <w:r w:rsidRPr="003C27B3">
              <w:rPr>
                <w:rFonts w:eastAsia="Times New Roman"/>
                <w:color w:val="000000"/>
              </w:rPr>
              <w:t>1 inch</w:t>
            </w:r>
          </w:p>
        </w:tc>
        <w:tc>
          <w:tcPr>
            <w:tcW w:w="1620" w:type="dxa"/>
            <w:tcBorders>
              <w:top w:val="nil"/>
              <w:left w:val="nil"/>
              <w:bottom w:val="nil"/>
              <w:right w:val="single" w:sz="4" w:space="0" w:color="auto"/>
            </w:tcBorders>
            <w:shd w:val="clear" w:color="auto" w:fill="auto"/>
            <w:noWrap/>
            <w:vAlign w:val="bottom"/>
            <w:hideMark/>
          </w:tcPr>
          <w:p w14:paraId="678FC3EA" w14:textId="77777777" w:rsidR="00310023" w:rsidRPr="003C27B3" w:rsidRDefault="00310023" w:rsidP="00D62326">
            <w:pPr>
              <w:jc w:val="center"/>
              <w:rPr>
                <w:rFonts w:eastAsia="Times New Roman"/>
                <w:color w:val="000000"/>
              </w:rPr>
            </w:pPr>
            <w:r w:rsidRPr="003C27B3">
              <w:rPr>
                <w:rFonts w:eastAsia="Times New Roman"/>
                <w:color w:val="000000"/>
              </w:rPr>
              <w:t>$79.35</w:t>
            </w:r>
          </w:p>
        </w:tc>
      </w:tr>
      <w:tr w:rsidR="00310023" w:rsidRPr="003C27B3" w14:paraId="673B65FB" w14:textId="77777777" w:rsidTr="00D62326">
        <w:trPr>
          <w:trHeight w:val="300"/>
        </w:trPr>
        <w:tc>
          <w:tcPr>
            <w:tcW w:w="2070" w:type="dxa"/>
            <w:tcBorders>
              <w:top w:val="nil"/>
              <w:left w:val="single" w:sz="4" w:space="0" w:color="auto"/>
              <w:bottom w:val="nil"/>
              <w:right w:val="single" w:sz="4" w:space="0" w:color="auto"/>
            </w:tcBorders>
            <w:shd w:val="clear" w:color="auto" w:fill="auto"/>
            <w:vAlign w:val="center"/>
            <w:hideMark/>
          </w:tcPr>
          <w:p w14:paraId="098CE379" w14:textId="77777777" w:rsidR="00310023" w:rsidRPr="003C27B3" w:rsidRDefault="00310023" w:rsidP="00D62326">
            <w:pPr>
              <w:rPr>
                <w:rFonts w:eastAsia="Times New Roman"/>
                <w:color w:val="000000"/>
              </w:rPr>
            </w:pPr>
            <w:r w:rsidRPr="003C27B3">
              <w:rPr>
                <w:rFonts w:eastAsia="Times New Roman"/>
                <w:color w:val="000000"/>
              </w:rPr>
              <w:t>1 1/2 inch</w:t>
            </w:r>
          </w:p>
        </w:tc>
        <w:tc>
          <w:tcPr>
            <w:tcW w:w="1620" w:type="dxa"/>
            <w:tcBorders>
              <w:top w:val="nil"/>
              <w:left w:val="nil"/>
              <w:bottom w:val="nil"/>
              <w:right w:val="single" w:sz="4" w:space="0" w:color="auto"/>
            </w:tcBorders>
            <w:shd w:val="clear" w:color="auto" w:fill="auto"/>
            <w:noWrap/>
            <w:vAlign w:val="bottom"/>
            <w:hideMark/>
          </w:tcPr>
          <w:p w14:paraId="7CFF3FB1" w14:textId="77777777" w:rsidR="00310023" w:rsidRPr="003C27B3" w:rsidRDefault="00310023" w:rsidP="00D62326">
            <w:pPr>
              <w:jc w:val="center"/>
              <w:rPr>
                <w:rFonts w:eastAsia="Times New Roman"/>
                <w:color w:val="000000"/>
              </w:rPr>
            </w:pPr>
            <w:r w:rsidRPr="003C27B3">
              <w:rPr>
                <w:rFonts w:eastAsia="Times New Roman"/>
                <w:color w:val="000000"/>
              </w:rPr>
              <w:t>$119.03</w:t>
            </w:r>
          </w:p>
        </w:tc>
      </w:tr>
      <w:tr w:rsidR="00310023" w:rsidRPr="003C27B3" w14:paraId="2B1359BE" w14:textId="77777777" w:rsidTr="00D62326">
        <w:trPr>
          <w:trHeight w:val="300"/>
        </w:trPr>
        <w:tc>
          <w:tcPr>
            <w:tcW w:w="2070" w:type="dxa"/>
            <w:tcBorders>
              <w:top w:val="nil"/>
              <w:left w:val="single" w:sz="4" w:space="0" w:color="auto"/>
              <w:bottom w:val="nil"/>
              <w:right w:val="single" w:sz="4" w:space="0" w:color="auto"/>
            </w:tcBorders>
            <w:shd w:val="clear" w:color="auto" w:fill="auto"/>
            <w:vAlign w:val="center"/>
            <w:hideMark/>
          </w:tcPr>
          <w:p w14:paraId="6CC4319C" w14:textId="77777777" w:rsidR="00310023" w:rsidRPr="003C27B3" w:rsidRDefault="00310023" w:rsidP="00D62326">
            <w:pPr>
              <w:rPr>
                <w:rFonts w:eastAsia="Times New Roman"/>
                <w:color w:val="000000"/>
              </w:rPr>
            </w:pPr>
            <w:r w:rsidRPr="003C27B3">
              <w:rPr>
                <w:rFonts w:eastAsia="Times New Roman"/>
                <w:color w:val="000000"/>
              </w:rPr>
              <w:t>2 inch</w:t>
            </w:r>
          </w:p>
        </w:tc>
        <w:tc>
          <w:tcPr>
            <w:tcW w:w="1620" w:type="dxa"/>
            <w:tcBorders>
              <w:top w:val="nil"/>
              <w:left w:val="nil"/>
              <w:bottom w:val="nil"/>
              <w:right w:val="single" w:sz="4" w:space="0" w:color="auto"/>
            </w:tcBorders>
            <w:shd w:val="clear" w:color="auto" w:fill="auto"/>
            <w:noWrap/>
            <w:vAlign w:val="bottom"/>
            <w:hideMark/>
          </w:tcPr>
          <w:p w14:paraId="3DB02F4C" w14:textId="77777777" w:rsidR="00310023" w:rsidRPr="003C27B3" w:rsidRDefault="00310023" w:rsidP="00D62326">
            <w:pPr>
              <w:jc w:val="center"/>
              <w:rPr>
                <w:rFonts w:eastAsia="Times New Roman"/>
                <w:color w:val="000000"/>
              </w:rPr>
            </w:pPr>
            <w:r w:rsidRPr="003C27B3">
              <w:rPr>
                <w:rFonts w:eastAsia="Times New Roman"/>
                <w:color w:val="000000"/>
              </w:rPr>
              <w:t>$158.70</w:t>
            </w:r>
          </w:p>
        </w:tc>
      </w:tr>
      <w:tr w:rsidR="00310023" w:rsidRPr="003C27B3" w14:paraId="10277EFE" w14:textId="77777777" w:rsidTr="00D62326">
        <w:trPr>
          <w:trHeight w:val="300"/>
        </w:trPr>
        <w:tc>
          <w:tcPr>
            <w:tcW w:w="2070" w:type="dxa"/>
            <w:tcBorders>
              <w:top w:val="nil"/>
              <w:left w:val="single" w:sz="4" w:space="0" w:color="auto"/>
              <w:right w:val="single" w:sz="4" w:space="0" w:color="auto"/>
            </w:tcBorders>
            <w:shd w:val="clear" w:color="auto" w:fill="auto"/>
            <w:vAlign w:val="center"/>
            <w:hideMark/>
          </w:tcPr>
          <w:p w14:paraId="20668D6A" w14:textId="77777777" w:rsidR="00310023" w:rsidRPr="003C27B3" w:rsidRDefault="00310023" w:rsidP="00D62326">
            <w:pPr>
              <w:rPr>
                <w:rFonts w:eastAsia="Times New Roman"/>
                <w:color w:val="000000"/>
              </w:rPr>
            </w:pPr>
            <w:r w:rsidRPr="003C27B3">
              <w:rPr>
                <w:rFonts w:eastAsia="Times New Roman"/>
                <w:color w:val="000000"/>
              </w:rPr>
              <w:t>6 inch</w:t>
            </w:r>
          </w:p>
        </w:tc>
        <w:tc>
          <w:tcPr>
            <w:tcW w:w="1620" w:type="dxa"/>
            <w:tcBorders>
              <w:top w:val="nil"/>
              <w:left w:val="nil"/>
              <w:right w:val="single" w:sz="4" w:space="0" w:color="auto"/>
            </w:tcBorders>
            <w:shd w:val="clear" w:color="auto" w:fill="auto"/>
            <w:noWrap/>
            <w:vAlign w:val="bottom"/>
            <w:hideMark/>
          </w:tcPr>
          <w:p w14:paraId="194BE89D" w14:textId="77777777" w:rsidR="00310023" w:rsidRPr="003C27B3" w:rsidRDefault="00310023" w:rsidP="00D62326">
            <w:pPr>
              <w:jc w:val="center"/>
              <w:rPr>
                <w:rFonts w:eastAsia="Times New Roman"/>
                <w:color w:val="000000"/>
              </w:rPr>
            </w:pPr>
            <w:r w:rsidRPr="003C27B3">
              <w:rPr>
                <w:rFonts w:eastAsia="Times New Roman"/>
                <w:color w:val="000000"/>
              </w:rPr>
              <w:t>$476.10</w:t>
            </w:r>
          </w:p>
        </w:tc>
      </w:tr>
      <w:tr w:rsidR="00310023" w:rsidRPr="003C27B3" w14:paraId="1FDF66A2" w14:textId="77777777" w:rsidTr="00D62326">
        <w:trPr>
          <w:trHeight w:val="300"/>
        </w:trPr>
        <w:tc>
          <w:tcPr>
            <w:tcW w:w="2070" w:type="dxa"/>
            <w:tcBorders>
              <w:top w:val="nil"/>
              <w:left w:val="single" w:sz="4" w:space="0" w:color="auto"/>
              <w:bottom w:val="single" w:sz="4" w:space="0" w:color="auto"/>
              <w:right w:val="single" w:sz="4" w:space="0" w:color="auto"/>
            </w:tcBorders>
            <w:shd w:val="clear" w:color="auto" w:fill="auto"/>
            <w:vAlign w:val="center"/>
            <w:hideMark/>
          </w:tcPr>
          <w:p w14:paraId="563F9357" w14:textId="77777777" w:rsidR="00310023" w:rsidRPr="003C27B3" w:rsidRDefault="00310023" w:rsidP="00D62326">
            <w:pPr>
              <w:rPr>
                <w:rFonts w:eastAsia="Times New Roman"/>
                <w:color w:val="000000"/>
              </w:rPr>
            </w:pPr>
            <w:r w:rsidRPr="003C27B3">
              <w:rPr>
                <w:rFonts w:eastAsia="Times New Roman"/>
                <w:color w:val="000000"/>
              </w:rPr>
              <w:t>8 inch</w:t>
            </w:r>
          </w:p>
        </w:tc>
        <w:tc>
          <w:tcPr>
            <w:tcW w:w="1620" w:type="dxa"/>
            <w:tcBorders>
              <w:top w:val="nil"/>
              <w:left w:val="nil"/>
              <w:bottom w:val="single" w:sz="4" w:space="0" w:color="auto"/>
              <w:right w:val="single" w:sz="4" w:space="0" w:color="auto"/>
            </w:tcBorders>
            <w:shd w:val="clear" w:color="auto" w:fill="auto"/>
            <w:noWrap/>
            <w:vAlign w:val="bottom"/>
            <w:hideMark/>
          </w:tcPr>
          <w:p w14:paraId="60044BDE" w14:textId="77777777" w:rsidR="00310023" w:rsidRPr="003C27B3" w:rsidRDefault="00310023" w:rsidP="00D62326">
            <w:pPr>
              <w:jc w:val="center"/>
              <w:rPr>
                <w:rFonts w:eastAsia="Times New Roman"/>
                <w:color w:val="000000"/>
              </w:rPr>
            </w:pPr>
            <w:r w:rsidRPr="003C27B3">
              <w:rPr>
                <w:rFonts w:eastAsia="Times New Roman"/>
                <w:color w:val="000000"/>
              </w:rPr>
              <w:t>$634.80</w:t>
            </w:r>
          </w:p>
        </w:tc>
      </w:tr>
    </w:tbl>
    <w:p w14:paraId="5871064E" w14:textId="77777777" w:rsidR="00310023" w:rsidRDefault="00310023" w:rsidP="00310023">
      <w:pPr>
        <w:pStyle w:val="BodyText"/>
        <w:spacing w:before="11"/>
        <w:rPr>
          <w:sz w:val="29"/>
        </w:rPr>
      </w:pPr>
    </w:p>
    <w:p w14:paraId="2FF5F395" w14:textId="77777777" w:rsidR="001654BD" w:rsidRDefault="001654BD" w:rsidP="00310023">
      <w:pPr>
        <w:pStyle w:val="Heading1"/>
      </w:pPr>
    </w:p>
    <w:p w14:paraId="67CB0423" w14:textId="1B8DF4D3" w:rsidR="00310023" w:rsidRDefault="00310023" w:rsidP="00310023">
      <w:pPr>
        <w:pStyle w:val="Heading1"/>
      </w:pPr>
      <w:r>
        <w:t>Non-metered</w:t>
      </w:r>
      <w:r>
        <w:rPr>
          <w:spacing w:val="-6"/>
        </w:rPr>
        <w:t xml:space="preserve"> </w:t>
      </w:r>
      <w:r>
        <w:t>Customers</w:t>
      </w:r>
      <w:r>
        <w:rPr>
          <w:spacing w:val="-5"/>
        </w:rPr>
        <w:t xml:space="preserve"> (Flat Rate Service)</w:t>
      </w:r>
    </w:p>
    <w:p w14:paraId="726A9219" w14:textId="77777777" w:rsidR="00310023" w:rsidRDefault="00310023" w:rsidP="00310023">
      <w:pPr>
        <w:pStyle w:val="BodyText"/>
        <w:spacing w:before="183"/>
        <w:ind w:left="580"/>
      </w:pPr>
      <w:r>
        <w:t>$66.73</w:t>
      </w:r>
      <w:r>
        <w:rPr>
          <w:spacing w:val="-4"/>
        </w:rPr>
        <w:t xml:space="preserve"> </w:t>
      </w:r>
      <w:r>
        <w:t>per</w:t>
      </w:r>
      <w:r>
        <w:rPr>
          <w:spacing w:val="-2"/>
        </w:rPr>
        <w:t xml:space="preserve"> month</w:t>
      </w:r>
    </w:p>
    <w:p w14:paraId="7D73ABAF" w14:textId="77777777" w:rsidR="00310023" w:rsidRDefault="00310023" w:rsidP="00310023">
      <w:pPr>
        <w:pStyle w:val="Heading1"/>
      </w:pPr>
    </w:p>
    <w:p w14:paraId="598E5A46" w14:textId="55D21EC8" w:rsidR="00310023" w:rsidRDefault="00233BD8" w:rsidP="00310023">
      <w:pPr>
        <w:pStyle w:val="Heading1"/>
      </w:pPr>
      <w:r>
        <w:t xml:space="preserve">Repair </w:t>
      </w:r>
      <w:r w:rsidR="00310023">
        <w:rPr>
          <w:spacing w:val="-2"/>
        </w:rPr>
        <w:t>Charges</w:t>
      </w:r>
    </w:p>
    <w:p w14:paraId="452A1974" w14:textId="539B5C84" w:rsidR="00310023" w:rsidRDefault="00310023" w:rsidP="00310023">
      <w:pPr>
        <w:pStyle w:val="BodyText"/>
        <w:spacing w:before="184" w:line="259" w:lineRule="auto"/>
        <w:ind w:left="580"/>
      </w:pPr>
      <w:r>
        <w:t>Customer</w:t>
      </w:r>
      <w:r>
        <w:rPr>
          <w:spacing w:val="-3"/>
        </w:rPr>
        <w:t xml:space="preserve"> </w:t>
      </w:r>
      <w:r>
        <w:t>will</w:t>
      </w:r>
      <w:r>
        <w:rPr>
          <w:spacing w:val="-4"/>
        </w:rPr>
        <w:t xml:space="preserve"> </w:t>
      </w:r>
      <w:r>
        <w:t>reimburse</w:t>
      </w:r>
      <w:r>
        <w:rPr>
          <w:spacing w:val="-4"/>
        </w:rPr>
        <w:t xml:space="preserve"> </w:t>
      </w:r>
      <w:r w:rsidR="001654BD">
        <w:t>the WPCA</w:t>
      </w:r>
      <w:r>
        <w:rPr>
          <w:spacing w:val="-3"/>
        </w:rPr>
        <w:t xml:space="preserve"> </w:t>
      </w:r>
      <w:r>
        <w:t>for</w:t>
      </w:r>
      <w:r>
        <w:rPr>
          <w:spacing w:val="-3"/>
        </w:rPr>
        <w:t xml:space="preserve"> </w:t>
      </w:r>
      <w:r>
        <w:t>required</w:t>
      </w:r>
      <w:r>
        <w:rPr>
          <w:spacing w:val="-4"/>
        </w:rPr>
        <w:t xml:space="preserve"> </w:t>
      </w:r>
      <w:r>
        <w:t>time</w:t>
      </w:r>
      <w:r>
        <w:rPr>
          <w:spacing w:val="-3"/>
        </w:rPr>
        <w:t xml:space="preserve"> </w:t>
      </w:r>
      <w:r>
        <w:t>and</w:t>
      </w:r>
      <w:r>
        <w:rPr>
          <w:spacing w:val="-4"/>
        </w:rPr>
        <w:t xml:space="preserve"> </w:t>
      </w:r>
      <w:r>
        <w:t>materials</w:t>
      </w:r>
      <w:r>
        <w:rPr>
          <w:spacing w:val="-4"/>
        </w:rPr>
        <w:t xml:space="preserve"> </w:t>
      </w:r>
      <w:r>
        <w:t>for</w:t>
      </w:r>
      <w:r>
        <w:rPr>
          <w:spacing w:val="-3"/>
        </w:rPr>
        <w:t xml:space="preserve"> </w:t>
      </w:r>
      <w:r>
        <w:t>repair</w:t>
      </w:r>
      <w:r>
        <w:rPr>
          <w:spacing w:val="-3"/>
        </w:rPr>
        <w:t xml:space="preserve"> </w:t>
      </w:r>
      <w:r>
        <w:t>work</w:t>
      </w:r>
      <w:r>
        <w:rPr>
          <w:spacing w:val="-4"/>
        </w:rPr>
        <w:t xml:space="preserve"> </w:t>
      </w:r>
      <w:r>
        <w:t>resulting from a violation of rules and regulations.</w:t>
      </w:r>
    </w:p>
    <w:p w14:paraId="6051F8EC" w14:textId="77777777" w:rsidR="00310023" w:rsidRDefault="00310023"/>
    <w:p w14:paraId="4A123393" w14:textId="7BC17558" w:rsidR="001654BD" w:rsidRDefault="00233BD8">
      <w:pPr>
        <w:rPr>
          <w:b/>
          <w:bCs/>
        </w:rPr>
      </w:pPr>
      <w:r>
        <w:rPr>
          <w:b/>
          <w:bCs/>
        </w:rPr>
        <w:t>R</w:t>
      </w:r>
      <w:r w:rsidR="001654BD" w:rsidRPr="001654BD">
        <w:rPr>
          <w:b/>
          <w:bCs/>
        </w:rPr>
        <w:t xml:space="preserve">ate </w:t>
      </w:r>
      <w:r>
        <w:rPr>
          <w:b/>
          <w:bCs/>
        </w:rPr>
        <w:t>S</w:t>
      </w:r>
      <w:r w:rsidR="001654BD" w:rsidRPr="001654BD">
        <w:rPr>
          <w:b/>
          <w:bCs/>
        </w:rPr>
        <w:t xml:space="preserve">tabilization </w:t>
      </w:r>
    </w:p>
    <w:p w14:paraId="52FE0DD9" w14:textId="77662B99" w:rsidR="00233BD8" w:rsidRDefault="001654BD">
      <w:r>
        <w:t xml:space="preserve">The City of Ansonia shall apply a credit to all customer bills </w:t>
      </w:r>
      <w:r w:rsidR="006C4529">
        <w:t>with the intention that the average customers bill will not increase in the first year following the effective date of rates.</w:t>
      </w:r>
      <w:r w:rsidR="0091630D">
        <w:t xml:space="preserve"> The amount of the bill credit will decrease in subsequent years consistent with the schedule below:</w:t>
      </w:r>
    </w:p>
    <w:p w14:paraId="2C408B90" w14:textId="7EC47D0B" w:rsidR="0091630D" w:rsidRDefault="0091630D">
      <w:r>
        <w:t>Year 1: $1,390,708</w:t>
      </w:r>
    </w:p>
    <w:p w14:paraId="6342C780" w14:textId="2BE246AA" w:rsidR="0091630D" w:rsidRDefault="0091630D">
      <w:r>
        <w:lastRenderedPageBreak/>
        <w:t>Year 2: $1,280,915</w:t>
      </w:r>
    </w:p>
    <w:p w14:paraId="61ED1C74" w14:textId="663EC3E3" w:rsidR="0091630D" w:rsidRDefault="0091630D">
      <w:r>
        <w:t>Year 3: $1,088,778</w:t>
      </w:r>
    </w:p>
    <w:p w14:paraId="0E5EF453" w14:textId="5D74FD0F" w:rsidR="0091630D" w:rsidRDefault="0091630D">
      <w:r>
        <w:t>Year 4: $871,022</w:t>
      </w:r>
    </w:p>
    <w:p w14:paraId="30B6D981" w14:textId="4C3DAB3D" w:rsidR="0091630D" w:rsidRDefault="0091630D">
      <w:r>
        <w:t>Year 5: $653 267</w:t>
      </w:r>
    </w:p>
    <w:p w14:paraId="2E5CDB31" w14:textId="0CFC83D3" w:rsidR="0091630D" w:rsidRDefault="0091630D">
      <w:r>
        <w:t>Years 6-10: $1,715,310</w:t>
      </w:r>
    </w:p>
    <w:p w14:paraId="6C3CF28B" w14:textId="1381FBD5" w:rsidR="0091630D" w:rsidRDefault="0091630D">
      <w:r>
        <w:t>Total: $7,000,000</w:t>
      </w:r>
    </w:p>
    <w:p w14:paraId="267D0BBD" w14:textId="76C5A7DE" w:rsidR="001654BD" w:rsidRPr="001654BD" w:rsidRDefault="001654BD"/>
    <w:sectPr w:rsidR="001654BD" w:rsidRPr="001654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929AF" w14:textId="77777777" w:rsidR="00493E67" w:rsidRDefault="00493E67" w:rsidP="00310023">
      <w:pPr>
        <w:spacing w:after="0" w:line="240" w:lineRule="auto"/>
      </w:pPr>
      <w:r>
        <w:separator/>
      </w:r>
    </w:p>
  </w:endnote>
  <w:endnote w:type="continuationSeparator" w:id="0">
    <w:p w14:paraId="7CD69A97" w14:textId="77777777" w:rsidR="00493E67" w:rsidRDefault="00493E67" w:rsidP="0031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74530" w14:textId="77777777" w:rsidR="00493E67" w:rsidRDefault="00493E67" w:rsidP="00310023">
      <w:pPr>
        <w:spacing w:after="0" w:line="240" w:lineRule="auto"/>
      </w:pPr>
      <w:r>
        <w:separator/>
      </w:r>
    </w:p>
  </w:footnote>
  <w:footnote w:type="continuationSeparator" w:id="0">
    <w:p w14:paraId="1136AEDD" w14:textId="77777777" w:rsidR="00493E67" w:rsidRDefault="00493E67" w:rsidP="00310023">
      <w:pPr>
        <w:spacing w:after="0" w:line="240" w:lineRule="auto"/>
      </w:pPr>
      <w:r>
        <w:continuationSeparator/>
      </w:r>
    </w:p>
  </w:footnote>
  <w:footnote w:id="1">
    <w:p w14:paraId="5C393AAD" w14:textId="77777777" w:rsidR="00310023" w:rsidRDefault="00310023" w:rsidP="00310023">
      <w:pPr>
        <w:pStyle w:val="FootnoteText"/>
      </w:pPr>
      <w:r>
        <w:rPr>
          <w:rStyle w:val="FootnoteReference"/>
        </w:rPr>
        <w:footnoteRef/>
      </w:r>
      <w:r>
        <w:t xml:space="preserve"> T</w:t>
      </w:r>
      <w:r w:rsidRPr="00153BE1">
        <w:t xml:space="preserve">he basic service is rendered </w:t>
      </w:r>
      <w:r>
        <w:t xml:space="preserve">on a </w:t>
      </w:r>
      <w:r w:rsidRPr="00153BE1">
        <w:t xml:space="preserve">per-diem </w:t>
      </w:r>
      <w:r>
        <w:t>and</w:t>
      </w:r>
      <w:r w:rsidRPr="00153BE1">
        <w:t xml:space="preserve"> will </w:t>
      </w:r>
      <w:r>
        <w:t>fluctuate</w:t>
      </w:r>
      <w:r w:rsidRPr="00153BE1">
        <w:t xml:space="preserve"> depending on the number of days in the bill period.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023"/>
    <w:rsid w:val="001654BD"/>
    <w:rsid w:val="00175C0D"/>
    <w:rsid w:val="002058D5"/>
    <w:rsid w:val="00211720"/>
    <w:rsid w:val="00233BD8"/>
    <w:rsid w:val="00265FE5"/>
    <w:rsid w:val="00310023"/>
    <w:rsid w:val="0031736A"/>
    <w:rsid w:val="00493E67"/>
    <w:rsid w:val="005E2659"/>
    <w:rsid w:val="006C4529"/>
    <w:rsid w:val="0091630D"/>
    <w:rsid w:val="009E7C1B"/>
    <w:rsid w:val="00A849F7"/>
    <w:rsid w:val="00C16AD6"/>
    <w:rsid w:val="00D2784C"/>
    <w:rsid w:val="00D41DC1"/>
    <w:rsid w:val="00DB0E99"/>
    <w:rsid w:val="00DC2324"/>
    <w:rsid w:val="00DE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4642"/>
  <w15:chartTrackingRefBased/>
  <w15:docId w15:val="{68ADFDD0-B403-4E57-8A85-8EF9CE32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0023"/>
    <w:pPr>
      <w:widowControl w:val="0"/>
      <w:autoSpaceDE w:val="0"/>
      <w:autoSpaceDN w:val="0"/>
      <w:spacing w:after="0" w:line="240" w:lineRule="auto"/>
      <w:ind w:left="580"/>
      <w:outlineLvl w:val="0"/>
    </w:pPr>
    <w:rPr>
      <w:rFonts w:ascii="Calibri" w:eastAsia="Calibri" w:hAnsi="Calibri" w:cs="Calibri"/>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023"/>
    <w:rPr>
      <w:rFonts w:ascii="Calibri" w:eastAsia="Calibri" w:hAnsi="Calibri" w:cs="Calibri"/>
      <w:b/>
      <w:bCs/>
      <w:kern w:val="0"/>
      <w:sz w:val="24"/>
      <w:szCs w:val="24"/>
      <w14:ligatures w14:val="none"/>
    </w:rPr>
  </w:style>
  <w:style w:type="paragraph" w:styleId="BodyText">
    <w:name w:val="Body Text"/>
    <w:basedOn w:val="Normal"/>
    <w:link w:val="BodyTextChar"/>
    <w:uiPriority w:val="1"/>
    <w:qFormat/>
    <w:rsid w:val="00310023"/>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310023"/>
    <w:rPr>
      <w:rFonts w:ascii="Calibri" w:eastAsia="Calibri" w:hAnsi="Calibri" w:cs="Calibri"/>
      <w:kern w:val="0"/>
      <w:sz w:val="24"/>
      <w:szCs w:val="24"/>
      <w14:ligatures w14:val="none"/>
    </w:rPr>
  </w:style>
  <w:style w:type="character" w:styleId="CommentReference">
    <w:name w:val="annotation reference"/>
    <w:basedOn w:val="DefaultParagraphFont"/>
    <w:uiPriority w:val="99"/>
    <w:semiHidden/>
    <w:unhideWhenUsed/>
    <w:rsid w:val="00310023"/>
    <w:rPr>
      <w:sz w:val="16"/>
      <w:szCs w:val="16"/>
    </w:rPr>
  </w:style>
  <w:style w:type="paragraph" w:styleId="CommentText">
    <w:name w:val="annotation text"/>
    <w:basedOn w:val="Normal"/>
    <w:link w:val="CommentTextChar"/>
    <w:uiPriority w:val="99"/>
    <w:semiHidden/>
    <w:unhideWhenUsed/>
    <w:rsid w:val="00310023"/>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semiHidden/>
    <w:rsid w:val="00310023"/>
    <w:rPr>
      <w:rFonts w:ascii="Calibri" w:eastAsia="Calibri" w:hAnsi="Calibri" w:cs="Calibri"/>
      <w:kern w:val="0"/>
      <w:sz w:val="20"/>
      <w:szCs w:val="20"/>
      <w14:ligatures w14:val="none"/>
    </w:rPr>
  </w:style>
  <w:style w:type="paragraph" w:styleId="FootnoteText">
    <w:name w:val="footnote text"/>
    <w:basedOn w:val="Normal"/>
    <w:link w:val="FootnoteTextChar"/>
    <w:uiPriority w:val="99"/>
    <w:semiHidden/>
    <w:unhideWhenUsed/>
    <w:rsid w:val="00310023"/>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310023"/>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310023"/>
    <w:rPr>
      <w:vertAlign w:val="superscript"/>
    </w:rPr>
  </w:style>
  <w:style w:type="character" w:styleId="Hyperlink">
    <w:name w:val="Hyperlink"/>
    <w:basedOn w:val="DefaultParagraphFont"/>
    <w:uiPriority w:val="99"/>
    <w:unhideWhenUsed/>
    <w:rsid w:val="005E2659"/>
    <w:rPr>
      <w:color w:val="0563C1" w:themeColor="hyperlink"/>
      <w:u w:val="single"/>
    </w:rPr>
  </w:style>
  <w:style w:type="character" w:customStyle="1" w:styleId="UnresolvedMention1">
    <w:name w:val="Unresolved Mention1"/>
    <w:basedOn w:val="DefaultParagraphFont"/>
    <w:uiPriority w:val="99"/>
    <w:semiHidden/>
    <w:unhideWhenUsed/>
    <w:rsid w:val="005E2659"/>
    <w:rPr>
      <w:color w:val="605E5C"/>
      <w:shd w:val="clear" w:color="auto" w:fill="E1DFDD"/>
    </w:rPr>
  </w:style>
  <w:style w:type="character" w:styleId="FollowedHyperlink">
    <w:name w:val="FollowedHyperlink"/>
    <w:basedOn w:val="DefaultParagraphFont"/>
    <w:uiPriority w:val="99"/>
    <w:semiHidden/>
    <w:unhideWhenUsed/>
    <w:rsid w:val="005E2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j/87024581301?pwd=z9N4nqNvMLFJREPh00kVZoDnQpGW5Y.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Aquarion Water Company</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Simonsen</dc:creator>
  <cp:keywords/>
  <dc:description/>
  <cp:lastModifiedBy>David Connelly</cp:lastModifiedBy>
  <cp:revision>2</cp:revision>
  <dcterms:created xsi:type="dcterms:W3CDTF">2024-11-13T19:23:00Z</dcterms:created>
  <dcterms:modified xsi:type="dcterms:W3CDTF">2024-11-13T19:23:00Z</dcterms:modified>
</cp:coreProperties>
</file>